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308" w:right="1305" w:firstLine="0"/>
        <w:jc w:val="center"/>
        <w:rPr>
          <w:b/>
          <w:sz w:val="24"/>
        </w:rPr>
      </w:pPr>
      <w:r>
        <w:rPr>
          <w:b/>
          <w:color w:val="0000FF"/>
          <w:sz w:val="24"/>
        </w:rPr>
        <w:t>1 9 0 5 </w:t>
      </w:r>
    </w:p>
    <w:p>
      <w:pPr>
        <w:pStyle w:val="BodyText"/>
        <w:spacing w:before="9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3679444</wp:posOffset>
            </wp:positionH>
            <wp:positionV relativeFrom="paragraph">
              <wp:posOffset>154954</wp:posOffset>
            </wp:positionV>
            <wp:extent cx="983304" cy="840104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304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9"/>
        <w:ind w:left="2308" w:right="1301" w:firstLine="0"/>
        <w:jc w:val="center"/>
        <w:rPr>
          <w:b/>
          <w:sz w:val="24"/>
        </w:rPr>
      </w:pPr>
      <w:r>
        <w:rPr>
          <w:b/>
          <w:color w:val="0000FF"/>
          <w:sz w:val="24"/>
        </w:rPr>
        <w:t>КазНИВИ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9"/>
        <w:ind w:left="0"/>
        <w:rPr>
          <w:b/>
          <w:sz w:val="34"/>
        </w:rPr>
      </w:pPr>
    </w:p>
    <w:p>
      <w:pPr>
        <w:spacing w:before="0"/>
        <w:ind w:left="2308" w:right="1695" w:firstLine="0"/>
        <w:jc w:val="center"/>
        <w:rPr>
          <w:b/>
          <w:sz w:val="24"/>
        </w:rPr>
      </w:pPr>
      <w:r>
        <w:rPr>
          <w:b/>
          <w:sz w:val="24"/>
        </w:rPr>
        <w:t>МИНИСТЕРСТВО СЕЛЬСКОГО ХОЗЯЙСТВА РЕСПУБЛИКИ КАЗАХСТАН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2"/>
        </w:rPr>
      </w:pPr>
    </w:p>
    <w:p>
      <w:pPr>
        <w:spacing w:before="0"/>
        <w:ind w:left="2308" w:right="1697" w:firstLine="0"/>
        <w:jc w:val="center"/>
        <w:rPr>
          <w:b/>
          <w:sz w:val="24"/>
        </w:rPr>
      </w:pPr>
      <w:r>
        <w:rPr>
          <w:b/>
          <w:sz w:val="24"/>
        </w:rPr>
        <w:t>ТОО «КАЗАХСКИЙ НАУЧНО-ИССЛЕДОВАТЕЛЬСКИЙ ВЕТЕРИНАРНЫЙ ИНСТИТУТ»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38"/>
        </w:rPr>
      </w:pPr>
    </w:p>
    <w:p>
      <w:pPr>
        <w:spacing w:before="1"/>
        <w:ind w:left="1451" w:right="838" w:firstLine="0"/>
        <w:jc w:val="center"/>
        <w:rPr>
          <w:b/>
          <w:sz w:val="24"/>
        </w:rPr>
      </w:pPr>
      <w:r>
        <w:rPr>
          <w:b/>
          <w:sz w:val="24"/>
        </w:rPr>
        <w:t>ИСПОЛЬЗОВАНИЕ ТЕСТ-СИСТЕМЫ ДЛЯ КОНТРОЛЯ ВОЗМОЖНОЙ ФАЛЬСИФИКАЦИИ МЯСНОЙ ПРОДУКЦИИ</w:t>
      </w:r>
    </w:p>
    <w:p>
      <w:pPr>
        <w:pStyle w:val="BodyText"/>
        <w:spacing w:line="271" w:lineRule="exact"/>
        <w:ind w:left="2308" w:right="1695"/>
        <w:jc w:val="center"/>
      </w:pPr>
      <w:r>
        <w:rPr/>
        <w:t>(методические рекомендации)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66"/>
        <w:ind w:left="2308" w:right="1696"/>
        <w:jc w:val="center"/>
      </w:pPr>
      <w:r>
        <w:rPr/>
        <w:t>Алматы </w:t>
      </w:r>
      <w:r>
        <w:rPr>
          <w:spacing w:val="59"/>
        </w:rPr>
        <w:t> </w:t>
      </w:r>
      <w:r>
        <w:rPr/>
        <w:t>2017</w:t>
      </w:r>
    </w:p>
    <w:p>
      <w:pPr>
        <w:spacing w:after="0"/>
        <w:jc w:val="center"/>
        <w:sectPr>
          <w:type w:val="continuous"/>
          <w:pgSz w:w="11910" w:h="16840"/>
          <w:pgMar w:top="1040" w:bottom="280" w:left="860" w:right="620"/>
        </w:sectPr>
      </w:pPr>
    </w:p>
    <w:p>
      <w:pPr>
        <w:pStyle w:val="BodyText"/>
        <w:spacing w:before="66"/>
      </w:pPr>
      <w:r>
        <w:rPr/>
        <w:t>УДК 575:577.21. 636.08.212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  <w:tabs>
          <w:tab w:pos="3440" w:val="left" w:leader="none"/>
          <w:tab w:pos="5123" w:val="left" w:leader="none"/>
          <w:tab w:pos="5737" w:val="left" w:leader="none"/>
          <w:tab w:pos="6996" w:val="left" w:leader="none"/>
          <w:tab w:pos="8425" w:val="left" w:leader="none"/>
        </w:tabs>
        <w:ind w:left="842" w:right="229" w:firstLine="707"/>
      </w:pPr>
      <w:r>
        <w:rPr/>
        <w:t>Использование</w:t>
        <w:tab/>
        <w:t>тест-системы</w:t>
        <w:tab/>
        <w:t>для</w:t>
        <w:tab/>
        <w:t>контроля</w:t>
        <w:tab/>
        <w:t>возможной</w:t>
        <w:tab/>
      </w:r>
      <w:r>
        <w:rPr>
          <w:spacing w:val="-1"/>
        </w:rPr>
        <w:t>фальсификации </w:t>
      </w:r>
      <w:r>
        <w:rPr/>
        <w:t>мясной продукции (методические</w:t>
      </w:r>
      <w:r>
        <w:rPr>
          <w:spacing w:val="1"/>
        </w:rPr>
        <w:t> </w:t>
      </w:r>
      <w:r>
        <w:rPr/>
        <w:t>рекомендации).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BodyText"/>
      </w:pPr>
      <w:r>
        <w:rPr/>
        <w:t>Составители: Сарбаканова Ш.Т., кандидат биологических нук, Аубекерова Л.С. кандидат ветеринарных наук, Касымова К.Т., Биримкулов Ш.М. магистры ветеринарии.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451" w:lineRule="auto" w:before="1"/>
        <w:ind w:right="1891"/>
      </w:pPr>
      <w:r>
        <w:rPr/>
        <w:t>Адрес: 050016, г. Алматы, пр. Райымбека, 223; тел./факс: 8 (7272) 33-72-71 e-mail: </w:t>
      </w:r>
      <w:hyperlink r:id="rId7">
        <w:r>
          <w:rPr>
            <w:u w:val="single"/>
          </w:rPr>
          <w:t>kaznivialmaty@mail.ru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before="90"/>
        <w:ind w:right="227" w:firstLine="707"/>
        <w:jc w:val="both"/>
      </w:pPr>
      <w:r>
        <w:rPr/>
        <w:t>В настоящих методических рекомендациях приводятся методы качественного определения видовой принадлежности и возможной фальсификации сырьевого состава мясных продуктов. Метод позволяет производить детекцию следующих видов мяса: говядины и конины.</w:t>
      </w:r>
    </w:p>
    <w:p>
      <w:pPr>
        <w:pStyle w:val="BodyText"/>
        <w:ind w:right="222" w:firstLine="707"/>
        <w:jc w:val="both"/>
      </w:pPr>
      <w:r>
        <w:rPr/>
        <w:t>Методические рекомендации предназначены для специалистов, органов и организаций службы по надзору в сфере защиты прав потребителей и благополучия человека, осуществляющих контроль качества и безопасности животноводческого сырья и мясных продуктов, находящихся в обращении на территории Республики Казахстан, государственных научно-исследовательских организаций гигиенического профиля.</w:t>
      </w:r>
    </w:p>
    <w:p>
      <w:pPr>
        <w:pStyle w:val="BodyText"/>
        <w:ind w:right="224" w:firstLine="707"/>
        <w:jc w:val="both"/>
      </w:pPr>
      <w:r>
        <w:rPr/>
        <w:t>Настоящие методические рекомендации могут быть использованы лабораторными центрами, аккредитованными в установленном порядке, в том числе при проведении производственного контроля продовольственного сырья и пищевых продуктов.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78" w:lineRule="auto" w:before="231"/>
        <w:ind w:right="226" w:firstLine="707"/>
        <w:jc w:val="both"/>
      </w:pPr>
      <w:r>
        <w:rPr/>
        <w:t>Рекомендации утверждены на заседании Ученого совета ТОО «Казахский научно- исследовательский ветеринарный институт» (протокол № 4 от « 20 » июня 2017 г.)</w:t>
      </w:r>
    </w:p>
    <w:p>
      <w:pPr>
        <w:spacing w:after="0" w:line="278" w:lineRule="auto"/>
        <w:jc w:val="both"/>
        <w:sectPr>
          <w:footerReference w:type="default" r:id="rId6"/>
          <w:pgSz w:w="11910" w:h="16840"/>
          <w:pgMar w:footer="1512" w:header="0" w:top="1040" w:bottom="1700" w:left="860" w:right="620"/>
          <w:pgNumType w:start="2"/>
        </w:sectPr>
      </w:pPr>
    </w:p>
    <w:p>
      <w:pPr>
        <w:pStyle w:val="BodyText"/>
        <w:spacing w:before="66"/>
        <w:ind w:left="2308" w:right="1696"/>
        <w:jc w:val="center"/>
      </w:pPr>
      <w:r>
        <w:rPr/>
        <w:t>СОДЕРЖАНИЕ</w:t>
      </w:r>
    </w:p>
    <w:p>
      <w:pPr>
        <w:pStyle w:val="BodyText"/>
        <w:spacing w:before="3"/>
        <w:ind w:left="0"/>
        <w:rPr>
          <w:sz w:val="2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224"/>
        <w:gridCol w:w="954"/>
      </w:tblGrid>
      <w:tr>
        <w:trPr>
          <w:trHeight w:val="546" w:hRule="atLeast"/>
        </w:trPr>
        <w:tc>
          <w:tcPr>
            <w:tcW w:w="572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4" w:type="dxa"/>
          </w:tcPr>
          <w:p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54" w:type="dxa"/>
          </w:tcPr>
          <w:p>
            <w:pPr>
              <w:pStyle w:val="TableParagraph"/>
              <w:spacing w:line="266" w:lineRule="exact"/>
              <w:ind w:left="5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763" w:hRule="atLeast"/>
        </w:trPr>
        <w:tc>
          <w:tcPr>
            <w:tcW w:w="572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4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Необходимое оборудование, материалы, лабораторная посуда и реактивы</w:t>
            </w:r>
          </w:p>
        </w:tc>
        <w:tc>
          <w:tcPr>
            <w:tcW w:w="954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754" w:hRule="atLeast"/>
        </w:trPr>
        <w:tc>
          <w:tcPr>
            <w:tcW w:w="572" w:type="dxa"/>
          </w:tcPr>
          <w:p>
            <w:pPr>
              <w:pStyle w:val="TableParagraph"/>
              <w:spacing w:before="206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4" w:type="dxa"/>
          </w:tcPr>
          <w:p>
            <w:pPr>
              <w:pStyle w:val="TableParagraph"/>
              <w:spacing w:before="206"/>
              <w:ind w:left="131"/>
              <w:rPr>
                <w:sz w:val="24"/>
              </w:rPr>
            </w:pPr>
            <w:r>
              <w:rPr>
                <w:sz w:val="24"/>
              </w:rPr>
              <w:t>Принцип метода</w:t>
            </w:r>
          </w:p>
        </w:tc>
        <w:tc>
          <w:tcPr>
            <w:tcW w:w="954" w:type="dxa"/>
          </w:tcPr>
          <w:p>
            <w:pPr>
              <w:pStyle w:val="TableParagraph"/>
              <w:spacing w:before="206"/>
              <w:ind w:left="5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775" w:hRule="atLeast"/>
        </w:trPr>
        <w:tc>
          <w:tcPr>
            <w:tcW w:w="572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Подготовка образца, хранение</w:t>
            </w:r>
          </w:p>
        </w:tc>
        <w:tc>
          <w:tcPr>
            <w:tcW w:w="95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739" w:hRule="atLeast"/>
        </w:trPr>
        <w:tc>
          <w:tcPr>
            <w:tcW w:w="572" w:type="dxa"/>
          </w:tcPr>
          <w:p>
            <w:pPr>
              <w:pStyle w:val="TableParagraph"/>
              <w:spacing w:before="226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4" w:type="dxa"/>
          </w:tcPr>
          <w:p>
            <w:pPr>
              <w:pStyle w:val="TableParagraph"/>
              <w:spacing w:before="226"/>
              <w:ind w:left="131"/>
              <w:rPr>
                <w:sz w:val="24"/>
              </w:rPr>
            </w:pPr>
            <w:r>
              <w:rPr>
                <w:sz w:val="24"/>
              </w:rPr>
              <w:t>Выделение ДНК из образцов мясных продуктов</w:t>
            </w:r>
          </w:p>
        </w:tc>
        <w:tc>
          <w:tcPr>
            <w:tcW w:w="954" w:type="dxa"/>
          </w:tcPr>
          <w:p>
            <w:pPr>
              <w:pStyle w:val="TableParagraph"/>
              <w:spacing w:before="226"/>
              <w:ind w:left="5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725" w:hRule="atLeast"/>
        </w:trPr>
        <w:tc>
          <w:tcPr>
            <w:tcW w:w="572" w:type="dxa"/>
          </w:tcPr>
          <w:p>
            <w:pPr>
              <w:pStyle w:val="TableParagraph"/>
              <w:spacing w:before="227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4" w:type="dxa"/>
          </w:tcPr>
          <w:p>
            <w:pPr>
              <w:pStyle w:val="TableParagraph"/>
              <w:spacing w:before="227"/>
              <w:ind w:left="131"/>
              <w:rPr>
                <w:sz w:val="24"/>
              </w:rPr>
            </w:pPr>
            <w:r>
              <w:rPr>
                <w:sz w:val="24"/>
              </w:rPr>
              <w:t>Выбор последовательности праймеров и зондов</w:t>
            </w:r>
          </w:p>
        </w:tc>
        <w:tc>
          <w:tcPr>
            <w:tcW w:w="954" w:type="dxa"/>
          </w:tcPr>
          <w:p>
            <w:pPr>
              <w:pStyle w:val="TableParagraph"/>
              <w:spacing w:before="227"/>
              <w:ind w:left="5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634" w:hRule="atLeast"/>
        </w:trPr>
        <w:tc>
          <w:tcPr>
            <w:tcW w:w="572" w:type="dxa"/>
          </w:tcPr>
          <w:p>
            <w:pPr>
              <w:pStyle w:val="TableParagraph"/>
              <w:spacing w:before="212"/>
              <w:ind w:left="2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4" w:type="dxa"/>
          </w:tcPr>
          <w:p>
            <w:pPr>
              <w:pStyle w:val="TableParagraph"/>
              <w:spacing w:before="212"/>
              <w:ind w:left="131"/>
              <w:rPr>
                <w:sz w:val="24"/>
              </w:rPr>
            </w:pPr>
            <w:r>
              <w:rPr>
                <w:sz w:val="24"/>
              </w:rPr>
              <w:t>Проведение амплификации</w:t>
            </w:r>
          </w:p>
        </w:tc>
        <w:tc>
          <w:tcPr>
            <w:tcW w:w="954" w:type="dxa"/>
          </w:tcPr>
          <w:p>
            <w:pPr>
              <w:pStyle w:val="TableParagraph"/>
              <w:spacing w:before="212"/>
              <w:ind w:left="5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709" w:hRule="atLeast"/>
        </w:trPr>
        <w:tc>
          <w:tcPr>
            <w:tcW w:w="572" w:type="dxa"/>
          </w:tcPr>
          <w:p>
            <w:pPr>
              <w:pStyle w:val="TableParagraph"/>
              <w:spacing w:before="136"/>
              <w:ind w:left="2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4" w:type="dxa"/>
          </w:tcPr>
          <w:p>
            <w:pPr>
              <w:pStyle w:val="TableParagraph"/>
              <w:spacing w:before="136"/>
              <w:ind w:left="131"/>
              <w:rPr>
                <w:sz w:val="24"/>
              </w:rPr>
            </w:pPr>
            <w:r>
              <w:rPr>
                <w:sz w:val="24"/>
              </w:rPr>
              <w:t>Детекция продуктов ПЦР-амплификации методом РТ-ПЦР</w:t>
            </w:r>
          </w:p>
        </w:tc>
        <w:tc>
          <w:tcPr>
            <w:tcW w:w="954" w:type="dxa"/>
          </w:tcPr>
          <w:p>
            <w:pPr>
              <w:pStyle w:val="TableParagraph"/>
              <w:spacing w:before="136"/>
              <w:ind w:left="5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860" w:hRule="atLeast"/>
        </w:trPr>
        <w:tc>
          <w:tcPr>
            <w:tcW w:w="572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4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954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563" w:hRule="atLeast"/>
        </w:trPr>
        <w:tc>
          <w:tcPr>
            <w:tcW w:w="572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4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1512" w:top="1040" w:bottom="1700" w:left="860" w:right="620"/>
        </w:sectPr>
      </w:pPr>
    </w:p>
    <w:p>
      <w:pPr>
        <w:pStyle w:val="Heading1"/>
        <w:numPr>
          <w:ilvl w:val="0"/>
          <w:numId w:val="1"/>
        </w:numPr>
        <w:tabs>
          <w:tab w:pos="1023" w:val="left" w:leader="none"/>
        </w:tabs>
        <w:spacing w:line="240" w:lineRule="auto" w:before="66" w:after="0"/>
        <w:ind w:left="1022" w:right="0" w:hanging="180"/>
        <w:jc w:val="left"/>
      </w:pPr>
      <w:r>
        <w:rPr/>
        <w:t>Введение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222" w:firstLine="707"/>
        <w:jc w:val="both"/>
      </w:pPr>
      <w:r>
        <w:rPr/>
        <w:t>В связи с развитием животноводства в Казахстане и глобализацией торговли во всем мире увеличивается производство и поступление извне различных видов мясных продуктов. Очень часто, стараясь получить продукт с низкой себестоимостью и удовлетворительными потребительскими характеристиками (вкус, цвет, аромат, сроки хранения), производители начинают использовать в рецептурах некачественное мясное сырье или вовсе производить частичную замену одного вида мяса другим (более дешевым) или замену мясного сырья комплексными смесями с использованием сои, крахмала и животных белков. Это не может не сказаться на качестве и биологической ценности мясной продукции, выпускаемой</w:t>
      </w:r>
      <w:r>
        <w:rPr>
          <w:spacing w:val="4"/>
        </w:rPr>
        <w:t> </w:t>
      </w:r>
      <w:r>
        <w:rPr/>
        <w:t>предприятиями.</w:t>
      </w:r>
    </w:p>
    <w:p>
      <w:pPr>
        <w:pStyle w:val="BodyText"/>
        <w:spacing w:before="1"/>
        <w:ind w:right="147" w:firstLine="707"/>
        <w:jc w:val="both"/>
      </w:pPr>
      <w:r>
        <w:rPr/>
        <w:t>Традиционные методы исследования мяса и мясопродуктов – гистологические, биохимические, физико-химические и структурно-механические – не всегда позволяют эффективно идентифицировать сырьевой состав готовой мясной продукции.</w:t>
      </w:r>
    </w:p>
    <w:p>
      <w:pPr>
        <w:pStyle w:val="BodyText"/>
        <w:ind w:left="861" w:right="245" w:firstLine="688"/>
        <w:jc w:val="both"/>
      </w:pPr>
      <w:r>
        <w:rPr/>
        <w:t>Использование молекулярно-генетических методов, основанных на анализе нуклеиновых кислот, является перспективным для видовой идентификации мяса в составе продуктов питания и кормов для животных, как в сыром, так и в термически обработанном виде.</w:t>
      </w:r>
    </w:p>
    <w:p>
      <w:pPr>
        <w:pStyle w:val="BodyText"/>
        <w:ind w:right="222" w:firstLine="707"/>
        <w:jc w:val="both"/>
      </w:pPr>
      <w:r>
        <w:rPr/>
        <w:t>Целью нашей работы являлась разработка нового экспресс-метода для идентификации говядины и конины и выявления возможной фальсификации мясной продукции по виду животных методом ПЦР в реальном времени, как мясного сырья, так и готовых пищевых продуктов. Внедрение в лабораторную практику эффективных тест- систем видовой идентификации мяса позволит работникам ветеринарно-санитарной службы лучше контролировать качество мясной продукции и будет способствовать исключению из торговли недоброкачественной и фальсифицированной продукции, что положительно отразится на здоровье населения и значительно повысит авторитет производимой отечественной продукции на мировом рынке.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2" w:right="0" w:hanging="180"/>
        <w:jc w:val="left"/>
      </w:pPr>
      <w:r>
        <w:rPr/>
        <w:t>Необходимое оборудование, материалы, лабораторная посуда и</w:t>
      </w:r>
      <w:r>
        <w:rPr>
          <w:spacing w:val="-10"/>
        </w:rPr>
        <w:t> </w:t>
      </w:r>
      <w:r>
        <w:rPr/>
        <w:t>реактивы: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235" w:lineRule="auto"/>
        <w:ind w:right="479"/>
      </w:pPr>
      <w:r>
        <w:rPr>
          <w:position w:val="-5"/>
        </w:rPr>
        <w:drawing>
          <wp:inline distT="0" distB="0" distL="0" distR="0">
            <wp:extent cx="167640" cy="18745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>
          <w:spacing w:val="13"/>
          <w:sz w:val="20"/>
        </w:rPr>
        <w:t> </w:t>
      </w:r>
      <w:r>
        <w:rPr/>
        <w:t>амплификаторы с детекцией результатов в режиме реального времени (типа Applied Biosystems 7500, StepOnePlus );</w:t>
      </w:r>
    </w:p>
    <w:p>
      <w:pPr>
        <w:pStyle w:val="BodyText"/>
        <w:spacing w:line="256" w:lineRule="auto" w:before="20"/>
        <w:ind w:left="1269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1085392</wp:posOffset>
            </wp:positionH>
            <wp:positionV relativeFrom="paragraph">
              <wp:posOffset>110783</wp:posOffset>
            </wp:positionV>
            <wp:extent cx="77724" cy="19507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аппарат для встряхивания типа «Вортекс», скорость вращения (250-3000 об/мин); микроцентрифуга настольная типа Эппендорф (частота вращения не менее 14000</w:t>
      </w:r>
    </w:p>
    <w:p>
      <w:pPr>
        <w:pStyle w:val="BodyText"/>
        <w:spacing w:line="254" w:lineRule="exact"/>
      </w:pPr>
      <w:r>
        <w:rPr/>
        <w:t>об/мин) или аналог;</w:t>
      </w:r>
    </w:p>
    <w:p>
      <w:pPr>
        <w:pStyle w:val="BodyText"/>
        <w:spacing w:line="254" w:lineRule="auto" w:before="20"/>
        <w:ind w:left="1269" w:right="3339"/>
      </w:pPr>
      <w:r>
        <w:rPr/>
        <w:drawing>
          <wp:anchor distT="0" distB="0" distL="0" distR="0" allowOverlap="1" layoutInCell="1" locked="0" behindDoc="1" simplePos="0" relativeHeight="268421855">
            <wp:simplePos x="0" y="0"/>
            <wp:positionH relativeFrom="page">
              <wp:posOffset>1085392</wp:posOffset>
            </wp:positionH>
            <wp:positionV relativeFrom="paragraph">
              <wp:posOffset>110783</wp:posOffset>
            </wp:positionV>
            <wp:extent cx="77724" cy="56540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5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термошейкер под пробирки типа Эппендорф (до 100°С); холодильник на 2-8</w:t>
      </w:r>
      <w:r>
        <w:rPr>
          <w:vertAlign w:val="superscript"/>
        </w:rPr>
        <w:t>о</w:t>
      </w:r>
      <w:r>
        <w:rPr>
          <w:vertAlign w:val="baseline"/>
        </w:rPr>
        <w:t>С,</w:t>
      </w:r>
    </w:p>
    <w:p>
      <w:pPr>
        <w:pStyle w:val="BodyText"/>
        <w:ind w:left="1269"/>
      </w:pPr>
      <w:r>
        <w:rPr/>
        <w:t>камера морозильная, обеспечивающая температуру минус 20</w:t>
      </w:r>
      <w:r>
        <w:rPr>
          <w:vertAlign w:val="superscript"/>
        </w:rPr>
        <w:t>о</w:t>
      </w:r>
      <w:r>
        <w:rPr>
          <w:vertAlign w:val="baseline"/>
        </w:rPr>
        <w:t>С;</w:t>
      </w:r>
    </w:p>
    <w:p>
      <w:pPr>
        <w:pStyle w:val="BodyText"/>
        <w:spacing w:line="237" w:lineRule="auto" w:before="19"/>
        <w:ind w:firstLine="427"/>
      </w:pPr>
      <w:r>
        <w:rPr/>
        <w:t>весы лабораторные общего назначения высокого класса точности с наибольшим пределом взвешивания 200 г.</w:t>
      </w:r>
    </w:p>
    <w:p>
      <w:pPr>
        <w:pStyle w:val="BodyText"/>
        <w:spacing w:line="170" w:lineRule="auto" w:before="86"/>
        <w:ind w:left="849" w:right="6064" w:firstLine="419"/>
      </w:pPr>
      <w:r>
        <w:rPr/>
        <w:t>лабораторный</w:t>
      </w:r>
      <w:r>
        <w:rPr>
          <w:spacing w:val="-5"/>
        </w:rPr>
        <w:t> </w:t>
      </w:r>
      <w:r>
        <w:rPr/>
        <w:t>гомогенизатор; </w:t>
      </w:r>
      <w:r>
        <w:rPr>
          <w:position w:val="-23"/>
        </w:rPr>
        <w:drawing>
          <wp:inline distT="0" distB="0" distL="0" distR="0">
            <wp:extent cx="77724" cy="381000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/>
        <w:t>    </w:t>
      </w:r>
      <w:r>
        <w:rPr>
          <w:spacing w:val="-3"/>
        </w:rPr>
        <w:t> </w:t>
      </w:r>
      <w:r>
        <w:rPr/>
        <w:t>лабораторный</w:t>
      </w:r>
      <w:r>
        <w:rPr>
          <w:spacing w:val="-1"/>
        </w:rPr>
        <w:t> </w:t>
      </w:r>
      <w:r>
        <w:rPr/>
        <w:t>таймер;</w:t>
      </w:r>
    </w:p>
    <w:p>
      <w:pPr>
        <w:pStyle w:val="BodyText"/>
        <w:spacing w:line="177" w:lineRule="exact"/>
        <w:ind w:left="1269"/>
      </w:pPr>
      <w:r>
        <w:rPr/>
        <w:t>облучатель бактерицидный настенный ОБН-150 или других видов</w:t>
      </w:r>
    </w:p>
    <w:p>
      <w:pPr>
        <w:pStyle w:val="BodyText"/>
        <w:spacing w:before="2"/>
        <w:ind w:left="0"/>
      </w:pPr>
    </w:p>
    <w:p>
      <w:pPr>
        <w:pStyle w:val="Heading1"/>
        <w:ind w:left="842"/>
      </w:pPr>
      <w:r>
        <w:rPr/>
        <w:t>Материалы и реактивы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235" w:lineRule="auto" w:before="1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1080820</wp:posOffset>
            </wp:positionH>
            <wp:positionV relativeFrom="paragraph">
              <wp:posOffset>358724</wp:posOffset>
            </wp:positionV>
            <wp:extent cx="167640" cy="187452"/>
            <wp:effectExtent l="0" t="0" r="0" b="0"/>
            <wp:wrapNone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67640" cy="187451"/>
            <wp:effectExtent l="0" t="0" r="0" b="0"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/>
        <w:t>видоспецифичные праймеры и зонды, позволяющие производить детекцию следующих видов мяса: говядины и конины;</w:t>
      </w:r>
    </w:p>
    <w:p>
      <w:pPr>
        <w:pStyle w:val="BodyText"/>
        <w:spacing w:before="20"/>
        <w:ind w:left="1125"/>
      </w:pPr>
      <w:r>
        <w:rPr/>
        <w:t>ПЦР смесь для проведения реакции;</w:t>
      </w:r>
    </w:p>
    <w:p>
      <w:pPr>
        <w:spacing w:after="0"/>
        <w:sectPr>
          <w:pgSz w:w="11910" w:h="16840"/>
          <w:pgMar w:header="0" w:footer="1512" w:top="1040" w:bottom="1700" w:left="860" w:right="620"/>
        </w:sectPr>
      </w:pPr>
    </w:p>
    <w:p>
      <w:pPr>
        <w:pStyle w:val="BodyText"/>
        <w:spacing w:line="256" w:lineRule="auto" w:before="65"/>
        <w:ind w:left="1125" w:right="6159"/>
      </w:pPr>
      <w:r>
        <w:rPr/>
        <w:drawing>
          <wp:anchor distT="0" distB="0" distL="0" distR="0" allowOverlap="1" layoutInCell="1" locked="0" behindDoc="1" simplePos="0" relativeHeight="268421903">
            <wp:simplePos x="0" y="0"/>
            <wp:positionH relativeFrom="page">
              <wp:posOffset>1085392</wp:posOffset>
            </wp:positionH>
            <wp:positionV relativeFrom="paragraph">
              <wp:posOffset>139388</wp:posOffset>
            </wp:positionV>
            <wp:extent cx="77724" cy="754585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5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Таg-ДНК-полимераза; реагенты для выделения ДНК;</w:t>
      </w:r>
    </w:p>
    <w:p>
      <w:pPr>
        <w:pStyle w:val="BodyText"/>
        <w:spacing w:line="254" w:lineRule="auto"/>
        <w:ind w:left="1125" w:right="2844"/>
      </w:pPr>
      <w:r>
        <w:rPr/>
        <w:t>дистиллированная деионизированная автоклавированная вода; пипетки-дозаторы с переменным объемом дозирования;</w:t>
      </w:r>
    </w:p>
    <w:p>
      <w:pPr>
        <w:pStyle w:val="BodyText"/>
        <w:spacing w:line="237" w:lineRule="auto" w:before="1"/>
        <w:ind w:firstLine="283"/>
      </w:pPr>
      <w:r>
        <w:rPr/>
        <w:t>наконечники с фильтром для дозаторов с переменным объѐмом дозирования до: 10, 20, 200, 1000 мм</w:t>
      </w:r>
      <w:r>
        <w:rPr>
          <w:vertAlign w:val="superscript"/>
        </w:rPr>
        <w:t>3</w:t>
      </w:r>
      <w:r>
        <w:rPr>
          <w:vertAlign w:val="baseline"/>
        </w:rPr>
        <w:t>;</w:t>
      </w:r>
    </w:p>
    <w:p>
      <w:pPr>
        <w:pStyle w:val="BodyText"/>
        <w:spacing w:line="254" w:lineRule="auto" w:before="20"/>
        <w:ind w:left="1125" w:right="1073"/>
      </w:pPr>
      <w:r>
        <w:rPr/>
        <w:drawing>
          <wp:anchor distT="0" distB="0" distL="0" distR="0" allowOverlap="1" layoutInCell="1" locked="0" behindDoc="1" simplePos="0" relativeHeight="268421927">
            <wp:simplePos x="0" y="0"/>
            <wp:positionH relativeFrom="page">
              <wp:posOffset>1085392</wp:posOffset>
            </wp:positionH>
            <wp:positionV relativeFrom="paragraph">
              <wp:posOffset>110783</wp:posOffset>
            </wp:positionV>
            <wp:extent cx="77724" cy="1312164"/>
            <wp:effectExtent l="0" t="0" r="0" b="0"/>
            <wp:wrapNone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пробирки микроцентрифужные типа Эппендорф вместимостью 0,2; 0,5; 1,5 см</w:t>
      </w:r>
      <w:r>
        <w:rPr>
          <w:vertAlign w:val="superscript"/>
        </w:rPr>
        <w:t>3</w:t>
      </w:r>
      <w:r>
        <w:rPr>
          <w:vertAlign w:val="baseline"/>
        </w:rPr>
        <w:t>; штативы для микропробирок;</w:t>
      </w:r>
    </w:p>
    <w:p>
      <w:pPr>
        <w:pStyle w:val="BodyText"/>
        <w:spacing w:line="254" w:lineRule="auto" w:before="3"/>
        <w:ind w:left="1125" w:right="6935"/>
        <w:jc w:val="both"/>
      </w:pPr>
      <w:r>
        <w:rPr/>
        <w:t>планшеты или стрипы; пинцеты медицинские; шпатели одноразовые;</w:t>
      </w:r>
    </w:p>
    <w:p>
      <w:pPr>
        <w:pStyle w:val="BodyText"/>
        <w:spacing w:line="254" w:lineRule="auto" w:before="1"/>
        <w:ind w:left="1125" w:right="2616"/>
      </w:pPr>
      <w:r>
        <w:rPr/>
        <w:t>скальпели одноразовые, ножи, ножницы, самоклеящаяся пленка; спирт этиловый по ГОСТ Р 51652 – 2000;</w:t>
      </w:r>
    </w:p>
    <w:p>
      <w:pPr>
        <w:pStyle w:val="BodyText"/>
        <w:spacing w:before="3"/>
        <w:ind w:right="229" w:firstLine="283"/>
      </w:pPr>
      <w:r>
        <w:rPr/>
        <w:t>посуда мерная лабораторная стеклянная. Цилиндры, мензурки, колбы, пробирки по ГОСТ 1770-74;</w:t>
      </w:r>
    </w:p>
    <w:p>
      <w:pPr>
        <w:pStyle w:val="BodyText"/>
        <w:ind w:firstLine="283"/>
      </w:pPr>
      <w:r>
        <w:rPr/>
        <w:t>Вся стеклянная посуда для ПЦР должна быть стерильна, а пластиковая – одноразового применения.</w:t>
      </w:r>
    </w:p>
    <w:p>
      <w:pPr>
        <w:pStyle w:val="BodyText"/>
        <w:spacing w:line="292" w:lineRule="exact" w:before="1"/>
      </w:pPr>
      <w:r>
        <w:rPr>
          <w:position w:val="-5"/>
        </w:rPr>
        <w:drawing>
          <wp:inline distT="0" distB="0" distL="0" distR="0">
            <wp:extent cx="167640" cy="187451"/>
            <wp:effectExtent l="0" t="0" r="0" b="0"/>
            <wp:docPr id="1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/>
        <w:t>бумага фильтровальная</w:t>
      </w:r>
      <w:r>
        <w:rPr>
          <w:spacing w:val="-2"/>
        </w:rPr>
        <w:t> </w:t>
      </w:r>
      <w:r>
        <w:rPr/>
        <w:t>лабораторная.</w:t>
      </w:r>
    </w:p>
    <w:p>
      <w:pPr>
        <w:pStyle w:val="BodyText"/>
        <w:tabs>
          <w:tab w:pos="2667" w:val="left" w:leader="none"/>
          <w:tab w:pos="4434" w:val="left" w:leader="none"/>
          <w:tab w:pos="6082" w:val="left" w:leader="none"/>
          <w:tab w:pos="7826" w:val="left" w:leader="none"/>
          <w:tab w:pos="8317" w:val="left" w:leader="none"/>
          <w:tab w:pos="9941" w:val="left" w:leader="none"/>
        </w:tabs>
        <w:ind w:right="233" w:firstLine="283"/>
      </w:pPr>
      <w:r>
        <w:rPr/>
        <w:t>Допускается</w:t>
        <w:tab/>
        <w:t>использование</w:t>
        <w:tab/>
        <w:t>аналогичного</w:t>
        <w:tab/>
        <w:t>оборудования,</w:t>
        <w:tab/>
        <w:t>не</w:t>
        <w:tab/>
        <w:t>уступающего</w:t>
        <w:tab/>
      </w:r>
      <w:r>
        <w:rPr>
          <w:spacing w:val="-9"/>
        </w:rPr>
        <w:t>по </w:t>
      </w:r>
      <w:r>
        <w:rPr/>
        <w:t>характеристикам указанным</w:t>
      </w:r>
      <w:r>
        <w:rPr>
          <w:spacing w:val="-2"/>
        </w:rPr>
        <w:t> </w:t>
      </w:r>
      <w:r>
        <w:rPr/>
        <w:t>выше.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2" w:right="0" w:hanging="180"/>
        <w:jc w:val="left"/>
      </w:pPr>
      <w:r>
        <w:rPr/>
        <w:t>Принцип</w:t>
      </w:r>
      <w:r>
        <w:rPr>
          <w:spacing w:val="-1"/>
        </w:rPr>
        <w:t> </w:t>
      </w:r>
      <w:r>
        <w:rPr/>
        <w:t>метода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25" w:firstLine="539"/>
        <w:jc w:val="both"/>
      </w:pPr>
      <w:r>
        <w:rPr/>
        <w:t>Метод определения видовой специфичности ДНК животного происхождения проводится с помощью разработанных праймеров, реакционной смеси, концентрированной в 2,5 раза (2,5Х), для проведения ПЦР в режиме реального времени с разработанными специфичными для говядины и конины праймерами и флуоресцентно мечеными зондами и набора реактивов для выделения ДНК «Сорб-ГМО-Б».</w:t>
      </w:r>
    </w:p>
    <w:p>
      <w:pPr>
        <w:pStyle w:val="BodyText"/>
        <w:ind w:right="228" w:firstLine="539"/>
        <w:jc w:val="both"/>
      </w:pPr>
      <w:r>
        <w:rPr/>
        <w:t>Набор реактивов "Сорб-ГМО-Б" разработан специально для выделения ДНК из растительного сырья, пищевых продуктов и кормов. В наборе сочетаются лизис с помощью ионного детергента СТАВ, обеспечивающего максимальных выход ДНК из растительных компонентов, и очистка на сорбенте, позволяющая получить раствор ДНК максимальной чистоты.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2" w:right="0" w:hanging="180"/>
        <w:jc w:val="left"/>
      </w:pPr>
      <w:r>
        <w:rPr/>
        <w:t>Подготовка образца,</w:t>
      </w:r>
      <w:r>
        <w:rPr>
          <w:spacing w:val="-3"/>
        </w:rPr>
        <w:t> </w:t>
      </w:r>
      <w:r>
        <w:rPr/>
        <w:t>хранение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spacing w:before="0"/>
        <w:ind w:left="842" w:right="227" w:firstLine="566"/>
        <w:jc w:val="both"/>
        <w:rPr>
          <w:sz w:val="22"/>
        </w:rPr>
      </w:pPr>
      <w:r>
        <w:rPr>
          <w:sz w:val="22"/>
        </w:rPr>
        <w:t>На всех этапах отбора проб должны быть обеспечены условия, предотвращающие загрязнение, изменение состава и состояния отобранных проб.</w:t>
      </w:r>
    </w:p>
    <w:p>
      <w:pPr>
        <w:pStyle w:val="BodyText"/>
        <w:ind w:right="224" w:firstLine="566"/>
        <w:jc w:val="both"/>
      </w:pPr>
      <w:r>
        <w:rPr/>
        <w:t>В качестве образцов для исследования используют мясо, фарши мясные, пельмени, котлеты, консервы, колбасы и т.д.</w:t>
      </w:r>
    </w:p>
    <w:p>
      <w:pPr>
        <w:pStyle w:val="BodyText"/>
        <w:ind w:right="230" w:firstLine="566"/>
        <w:jc w:val="both"/>
      </w:pPr>
      <w:r>
        <w:rPr/>
        <w:t>Образцы продукции берутся в количестве, необходимом для проведения испытания по всем показателям (характеристикам).</w:t>
      </w:r>
    </w:p>
    <w:p>
      <w:pPr>
        <w:pStyle w:val="BodyText"/>
        <w:ind w:right="227" w:firstLine="566"/>
        <w:jc w:val="both"/>
      </w:pPr>
      <w:r>
        <w:rPr/>
        <w:t>Упаковочной тарой может быть плотный одноразовый полиэтиленовый пакет с застежкой-молнией размером не более 10х15 см. Пробы жидких продуктов отбираются в чистые емкости из стекла или пластика с герметично закрывающимися крышками объемом не более 50 см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ind w:right="231" w:firstLine="566"/>
        <w:jc w:val="both"/>
      </w:pPr>
      <w:r>
        <w:rPr/>
        <w:t>Из партии туш, полутуш, четвертин и отрубов осмотру подлежит 10% единиц продукции.</w:t>
      </w:r>
    </w:p>
    <w:p>
      <w:pPr>
        <w:spacing w:after="0"/>
        <w:jc w:val="both"/>
        <w:sectPr>
          <w:pgSz w:w="11910" w:h="16840"/>
          <w:pgMar w:header="0" w:footer="1512" w:top="1060" w:bottom="1700" w:left="860" w:right="620"/>
        </w:sectPr>
      </w:pPr>
    </w:p>
    <w:p>
      <w:pPr>
        <w:pStyle w:val="BodyText"/>
        <w:spacing w:before="66"/>
        <w:ind w:right="233" w:firstLine="566"/>
        <w:jc w:val="both"/>
      </w:pPr>
      <w:r>
        <w:rPr/>
        <w:t>От туши, полутуши или четвертины вырезают кусок мышечной ткани размером 5х5х5 см. Образцы замороженного мяса отбираются с помощью специальных пробоотборников.</w:t>
      </w:r>
    </w:p>
    <w:p>
      <w:pPr>
        <w:pStyle w:val="BodyText"/>
        <w:spacing w:before="1"/>
        <w:ind w:right="236" w:firstLine="566"/>
        <w:jc w:val="both"/>
      </w:pPr>
      <w:r>
        <w:rPr/>
        <w:t>От отрубов массой более 1,5 кг вне зависимости от типа упаковки отделяют кусок массой 100-200 г. Отруба массой менее 1,5 кг отбирают</w:t>
      </w:r>
      <w:r>
        <w:rPr>
          <w:spacing w:val="-3"/>
        </w:rPr>
        <w:t> </w:t>
      </w:r>
      <w:r>
        <w:rPr/>
        <w:t>целиком.</w:t>
      </w:r>
    </w:p>
    <w:p>
      <w:pPr>
        <w:pStyle w:val="BodyText"/>
        <w:ind w:right="231" w:firstLine="566"/>
        <w:jc w:val="both"/>
      </w:pPr>
      <w:r>
        <w:rPr/>
        <w:t>Из партии мясных блоков отбирают 3 единицы упаковки и из разных точек блока вырезают образцы общей массой 100-200 г на единицу</w:t>
      </w:r>
      <w:r>
        <w:rPr>
          <w:spacing w:val="-6"/>
        </w:rPr>
        <w:t> </w:t>
      </w:r>
      <w:r>
        <w:rPr/>
        <w:t>упаковки.</w:t>
      </w:r>
    </w:p>
    <w:p>
      <w:pPr>
        <w:pStyle w:val="BodyText"/>
        <w:ind w:right="224" w:firstLine="566"/>
        <w:jc w:val="both"/>
      </w:pPr>
      <w:r>
        <w:rPr/>
        <w:t>Из партии мяса механической обвалки и мясных продуктов отбирают образцы массой 200-300 г от трех единиц транспортной упаковки.</w:t>
      </w:r>
    </w:p>
    <w:p>
      <w:pPr>
        <w:pStyle w:val="BodyText"/>
        <w:ind w:left="1408"/>
      </w:pPr>
      <w:r>
        <w:rPr/>
        <w:t>Отбор образцов пищевых субпродуктов</w:t>
      </w:r>
    </w:p>
    <w:p>
      <w:pPr>
        <w:pStyle w:val="BodyText"/>
        <w:ind w:left="1408"/>
      </w:pPr>
      <w:r>
        <w:rPr/>
        <w:t>Из партии пищевых субпродуктов осмотру подлежит 10% единиц продукции.</w:t>
      </w:r>
    </w:p>
    <w:p>
      <w:pPr>
        <w:pStyle w:val="BodyText"/>
        <w:ind w:right="222" w:firstLine="566"/>
        <w:jc w:val="both"/>
      </w:pPr>
      <w:r>
        <w:rPr/>
        <w:t>Отобранные образцы помещают в одноразовую пластиковую посуду или пакеты и маркируют этикетками. На каждом образце необходимо написать название, нумерацию, дату. В случае если испытуемые пробы стояли в холодильной камере, извлечь их за 15 минут до проведения испытаний. Образцы сырья и продуктов хранят в течение 1 месяца согласно условиям, указанным производителем продукта питания. Образцы скоропортящихся продуктов хранят в замороженном состоянии (при температуре минус 20 °С) в течение 1</w:t>
      </w:r>
      <w:r>
        <w:rPr>
          <w:spacing w:val="-4"/>
        </w:rPr>
        <w:t> </w:t>
      </w:r>
      <w:r>
        <w:rPr/>
        <w:t>месяца.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2" w:right="0" w:hanging="180"/>
        <w:jc w:val="left"/>
      </w:pPr>
      <w:r>
        <w:rPr/>
        <w:t>Выделение ДНК из образцов мясных продуктов</w:t>
      </w:r>
    </w:p>
    <w:p>
      <w:pPr>
        <w:pStyle w:val="BodyText"/>
        <w:ind w:left="0"/>
        <w:rPr>
          <w:b/>
        </w:rPr>
      </w:pPr>
    </w:p>
    <w:p>
      <w:pPr>
        <w:spacing w:before="0"/>
        <w:ind w:left="842" w:right="0" w:firstLine="0"/>
        <w:jc w:val="left"/>
        <w:rPr>
          <w:b/>
          <w:sz w:val="24"/>
        </w:rPr>
      </w:pPr>
      <w:r>
        <w:rPr>
          <w:b/>
          <w:sz w:val="24"/>
        </w:rPr>
        <w:t>А) с помощью набора реактивов для выделения ДНК «Сорб-ГМО-Б»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23" w:firstLine="566"/>
        <w:jc w:val="both"/>
      </w:pPr>
      <w:r>
        <w:rPr/>
        <w:t>В зоне для выделения ДНК необходимо одеть предназначенные для данной зоны халат и перчатки. Проверить наличие всех необходимых расходных материалов и оборудования. Для выделения ДНК путем взвешивания отбирают 10 - 30 гр говядины, конины. Отобранные образцы переносят в новые 1,5 мл пробирки (эппендорфы) и помещают их в рабочий штатив. Штативы подписывают соответственно образцам.</w:t>
      </w:r>
    </w:p>
    <w:p>
      <w:pPr>
        <w:pStyle w:val="BodyText"/>
        <w:spacing w:before="1"/>
        <w:ind w:right="224" w:firstLine="566"/>
        <w:jc w:val="both"/>
      </w:pPr>
      <w:r>
        <w:rPr/>
        <w:t>Лизирующий буфер и осаждающий раствор прогревают на термостате при 60 °С или выдерживают при комнатной температуре 15 - 30 минут и обязательно перемешивают плавным переворачиванием до полного растворения осадка.</w:t>
      </w:r>
    </w:p>
    <w:p>
      <w:pPr>
        <w:pStyle w:val="BodyText"/>
        <w:ind w:right="227" w:firstLine="566"/>
        <w:jc w:val="both"/>
      </w:pPr>
      <w:r>
        <w:rPr/>
        <w:t>Измельченные навески образцов переносят в одноразовые микроцентрифужные пробирки объемом 1,5 мл или 2,0 мл. Дополнительно в каждой серий выделений готовят пустую пробирку для отрицательного контроля образца - внутренний (ОКО-В).</w:t>
      </w:r>
    </w:p>
    <w:p>
      <w:pPr>
        <w:pStyle w:val="BodyText"/>
        <w:ind w:right="226" w:firstLine="566"/>
        <w:jc w:val="both"/>
      </w:pPr>
      <w:r>
        <w:rPr/>
        <w:t>Внести в каждую пробирку (включая ОКО-В) по 800 мкл лизирующего раствора и  15 мкл протеиназы К. Тщательно перемешивают на вортексе или с помощью стеклянной палочки.</w:t>
      </w:r>
    </w:p>
    <w:p>
      <w:pPr>
        <w:pStyle w:val="BodyText"/>
        <w:ind w:right="228" w:firstLine="566"/>
        <w:jc w:val="both"/>
      </w:pPr>
      <w:r>
        <w:rPr/>
        <w:t>Инкубируют смесь 50-60 минут при температуре 60 °С, периодически перемешивая на вортексе (каждые 15 - 20 минут). Остужают пробирки (1 - 2 минуты) и центрифугируют смесь 5 минут при 12-14 тыс. об/мин.</w:t>
      </w:r>
    </w:p>
    <w:p>
      <w:pPr>
        <w:pStyle w:val="BodyText"/>
        <w:ind w:right="233" w:firstLine="566"/>
        <w:jc w:val="both"/>
      </w:pPr>
      <w:r>
        <w:rPr/>
        <w:t>Верхнюю водную фазу (не более 600 мкл) переносят отдельными наконечниками с аэрозольными барьерами в новые пробирки на 1,5 мл.</w:t>
      </w:r>
    </w:p>
    <w:p>
      <w:pPr>
        <w:pStyle w:val="BodyText"/>
        <w:spacing w:before="1"/>
        <w:ind w:right="227" w:firstLine="566"/>
        <w:jc w:val="both"/>
      </w:pPr>
      <w:r>
        <w:rPr/>
        <w:t>Вносят в каждую пробирку по 500 мкл хлороформа (бесцветный нижний слой), интенсивно перемешивают каждую пробирку на вортексе 10 секунд. Центрифугируют смесь при 12-14 тыс. об/мин в течение 10 минут.</w:t>
      </w:r>
    </w:p>
    <w:p>
      <w:pPr>
        <w:pStyle w:val="BodyText"/>
        <w:ind w:right="234" w:firstLine="566"/>
        <w:jc w:val="both"/>
      </w:pPr>
      <w:r>
        <w:rPr/>
        <w:t>Во время лизиса и центрифугирования готовят реактив. Для этого в новые пробирки на 1,5 мл вносят по 600 мкл осаждающего раствора и по 25 мкл сорбента (сорбент непосредственно перед внесением интенсивно перемешивают на вортексе до полной гомогенизации).</w:t>
      </w:r>
    </w:p>
    <w:p>
      <w:pPr>
        <w:spacing w:after="0"/>
        <w:jc w:val="both"/>
        <w:sectPr>
          <w:pgSz w:w="11910" w:h="16840"/>
          <w:pgMar w:header="0" w:footer="1512" w:top="1040" w:bottom="1700" w:left="860" w:right="620"/>
        </w:sectPr>
      </w:pPr>
    </w:p>
    <w:p>
      <w:pPr>
        <w:pStyle w:val="BodyText"/>
        <w:spacing w:before="66"/>
        <w:ind w:right="225" w:firstLine="566"/>
        <w:jc w:val="both"/>
      </w:pPr>
      <w:r>
        <w:rPr/>
        <w:t>После центрифугирования отбирают верхнюю водную фазу из пробирок с  образцами в объеме 300 мкл (при недостатке можно отбирать меньше - до 100 мкл) очень аккуратно, не захватывая нижний слой хлороформа, межфазный слой и неосевшие частицы, переносят отдельными наконечниками с аэрозольными барьерами в пробирки с подготовленным</w:t>
      </w:r>
      <w:r>
        <w:rPr>
          <w:spacing w:val="-3"/>
        </w:rPr>
        <w:t> </w:t>
      </w:r>
      <w:r>
        <w:rPr/>
        <w:t>реактивом.</w:t>
      </w:r>
    </w:p>
    <w:p>
      <w:pPr>
        <w:pStyle w:val="BodyText"/>
        <w:spacing w:before="1"/>
        <w:ind w:right="224" w:firstLine="566"/>
        <w:jc w:val="both"/>
      </w:pPr>
      <w:r>
        <w:rPr/>
        <w:t>Интенсивно перемешивают пробирки на вортексе до полного ресуспензирования сорбента. Инкубируют при комнатной температуре 10 минут, периодически встряхивая пробирку. Центрифугируют суспензию при 7 тыс. об/мин 1 минуту. Удаляют супернатант, используя отдельный наконечник для каждой пробы.</w:t>
      </w:r>
    </w:p>
    <w:p>
      <w:pPr>
        <w:pStyle w:val="BodyText"/>
        <w:ind w:right="225" w:firstLine="566"/>
        <w:jc w:val="both"/>
      </w:pPr>
      <w:r>
        <w:rPr/>
        <w:t>Добавляют к осадку 500 мкл промывочного раствора А. Интенсивно перемешивают на вортексе до максимального резуспензирования сорбента. Инкубируют при комнатной температуре 1-2 минуты, периодически встряхивая пробирку.  Центрифугируют суспензию при 7 тыс. об/мин 30 секунд. Удаляют супернатант, используя отдельный наконечник для каждой</w:t>
      </w:r>
      <w:r>
        <w:rPr>
          <w:spacing w:val="-3"/>
        </w:rPr>
        <w:t> </w:t>
      </w:r>
      <w:r>
        <w:rPr/>
        <w:t>пробы.</w:t>
      </w:r>
    </w:p>
    <w:p>
      <w:pPr>
        <w:pStyle w:val="BodyText"/>
        <w:ind w:right="224" w:firstLine="566"/>
        <w:jc w:val="both"/>
      </w:pPr>
      <w:r>
        <w:rPr/>
        <w:t>Добавляют к осадку 500 мкл промывочного раствора Б. Интенсивно перемешивают на вортексе до максимального резуспензирования сорбента. Центрифугируют суспензию при 7 тыс. об/мин 30 секунд. Удаляют супернатант, используя отдельный наконечник для каждой пробы.</w:t>
      </w:r>
    </w:p>
    <w:p>
      <w:pPr>
        <w:pStyle w:val="BodyText"/>
        <w:ind w:right="224" w:firstLine="566"/>
        <w:jc w:val="both"/>
      </w:pPr>
      <w:r>
        <w:rPr/>
        <w:t>Добавляют к осадку 500 мкл промывочного раствора В. Интенсивно перемешивают на вортексе до максимального резуспензирования сорбента. Центрифугируют суспензию при 7 тыс. об/мин 30 секунд. Удаляют супернатант, используя отдельный наконечник для каждой пробы.</w:t>
      </w:r>
    </w:p>
    <w:p>
      <w:pPr>
        <w:pStyle w:val="BodyText"/>
        <w:spacing w:before="1"/>
        <w:ind w:right="227" w:firstLine="566"/>
        <w:jc w:val="both"/>
      </w:pPr>
      <w:r>
        <w:rPr/>
        <w:t>Помещают пробирки с открытыми крышками в термостат на 60 °С на 5 минут для испарения жидкости.</w:t>
      </w:r>
    </w:p>
    <w:p>
      <w:pPr>
        <w:pStyle w:val="BodyText"/>
        <w:ind w:right="224" w:firstLine="566"/>
        <w:jc w:val="both"/>
      </w:pPr>
      <w:r>
        <w:rPr/>
        <w:t>К сухому осадку добавляют 100 мкл ТЕ-буфера, перемешивают на вортексе. Инкубируют 10 минут при температуре 60 °С, перемешивая каждые 2 минуты. Центрифугируют суспензию при 12 - 14 тыс. об/мин 2 минуты. Чистую надосадочную жидкость (около 70 мкл) рекомендуется отобрать, не захватывая сорбент, в новую пробирку объемом 0,5 или 1,5 мл. В этих пробирках содержится ДНК. Образец ДНК может храниться при 4 ºС до одного месяца. В случае необходимости хранения образца ДНК на более длительный срок, использовать морозильник на минус 20</w:t>
      </w:r>
      <w:r>
        <w:rPr>
          <w:spacing w:val="-8"/>
        </w:rPr>
        <w:t> </w:t>
      </w:r>
      <w:r>
        <w:rPr/>
        <w:t>ºС.</w:t>
      </w:r>
    </w:p>
    <w:p>
      <w:pPr>
        <w:pStyle w:val="BodyText"/>
        <w:spacing w:before="5"/>
        <w:ind w:left="0"/>
      </w:pPr>
    </w:p>
    <w:p>
      <w:pPr>
        <w:pStyle w:val="Heading1"/>
        <w:ind w:left="842" w:right="234" w:firstLine="566"/>
        <w:jc w:val="both"/>
      </w:pPr>
      <w:r>
        <w:rPr/>
        <w:t>Б) с помощью набора для выделения тотальной ДНК из различных пищевых продуктов «GMO Extraction Kit», Applied Biosystem, США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32" w:firstLine="566"/>
        <w:jc w:val="both"/>
      </w:pPr>
      <w:r>
        <w:rPr/>
        <w:t>Взвешивают 10 г нужного образца, переносят в пробирку объемом 50 мл и добавляют 20 мл лизирующего буфера 1. Добавляют 20 мкл раствора РНКазы, закрывают парафильмом и инкубируют 30 мин при температуре 65 °С, встряхивая на</w:t>
      </w:r>
      <w:r>
        <w:rPr>
          <w:spacing w:val="-13"/>
        </w:rPr>
        <w:t> </w:t>
      </w:r>
      <w:r>
        <w:rPr/>
        <w:t>вортексе.</w:t>
      </w:r>
    </w:p>
    <w:p>
      <w:pPr>
        <w:pStyle w:val="BodyText"/>
        <w:ind w:right="233" w:firstLine="566"/>
        <w:jc w:val="both"/>
      </w:pPr>
      <w:r>
        <w:rPr/>
        <w:t>Затем центрифугируют при 3500 об/мин в течение 5 мин. Переносят 385 мкл супернатанта в стерильную 1,5 мл пробирку, добавляют 25 мкл раствора протеиназы К, встряхивают и инкубируют при 56 °С в течение 1 часа.</w:t>
      </w:r>
    </w:p>
    <w:p>
      <w:pPr>
        <w:pStyle w:val="BodyText"/>
        <w:ind w:left="1408"/>
      </w:pPr>
      <w:r>
        <w:rPr/>
        <w:t>Затем добавляют 400 мкл лизирующего буфера 2, встряхивают и инкубируют при</w:t>
      </w:r>
      <w:r>
        <w:rPr>
          <w:spacing w:val="31"/>
        </w:rPr>
        <w:t> </w:t>
      </w:r>
      <w:r>
        <w:rPr/>
        <w:t>70</w:t>
      </w:r>
    </w:p>
    <w:p>
      <w:pPr>
        <w:pStyle w:val="BodyText"/>
        <w:spacing w:before="1"/>
        <w:ind w:right="230"/>
        <w:jc w:val="both"/>
      </w:pPr>
      <w:r>
        <w:rPr/>
        <w:t>°С в течение 10 минут на водяной бане. Потом добавляют 420 мкл абсолютного этанола и снова встряхивают пробирки. Переносят 600 мкл из каждой пробирки на колонки для фильтрации и центрифугируют при 11000 об/мин в течение 1 мин. Добавляют остальную часть образца и снова центрифугируют при 11000 об/мин, 1 мин. Элюат удаляют. Промывают</w:t>
      </w:r>
      <w:r>
        <w:rPr>
          <w:spacing w:val="17"/>
        </w:rPr>
        <w:t> </w:t>
      </w:r>
      <w:r>
        <w:rPr/>
        <w:t>колонку</w:t>
      </w:r>
      <w:r>
        <w:rPr>
          <w:spacing w:val="9"/>
        </w:rPr>
        <w:t> </w:t>
      </w:r>
      <w:r>
        <w:rPr/>
        <w:t>500</w:t>
      </w:r>
      <w:r>
        <w:rPr>
          <w:spacing w:val="16"/>
        </w:rPr>
        <w:t> </w:t>
      </w:r>
      <w:r>
        <w:rPr/>
        <w:t>мкл</w:t>
      </w:r>
      <w:r>
        <w:rPr>
          <w:spacing w:val="18"/>
        </w:rPr>
        <w:t> </w:t>
      </w:r>
      <w:r>
        <w:rPr/>
        <w:t>отмывочного</w:t>
      </w:r>
      <w:r>
        <w:rPr>
          <w:spacing w:val="16"/>
        </w:rPr>
        <w:t> </w:t>
      </w:r>
      <w:r>
        <w:rPr/>
        <w:t>буфера</w:t>
      </w:r>
      <w:r>
        <w:rPr>
          <w:spacing w:val="16"/>
        </w:rPr>
        <w:t> </w:t>
      </w:r>
      <w:r>
        <w:rPr/>
        <w:t>1,</w:t>
      </w:r>
      <w:r>
        <w:rPr>
          <w:spacing w:val="16"/>
        </w:rPr>
        <w:t> </w:t>
      </w:r>
      <w:r>
        <w:rPr/>
        <w:t>затем</w:t>
      </w:r>
      <w:r>
        <w:rPr>
          <w:spacing w:val="17"/>
        </w:rPr>
        <w:t> </w:t>
      </w:r>
      <w:r>
        <w:rPr/>
        <w:t>600</w:t>
      </w:r>
      <w:r>
        <w:rPr>
          <w:spacing w:val="16"/>
        </w:rPr>
        <w:t> </w:t>
      </w:r>
      <w:r>
        <w:rPr/>
        <w:t>мкл</w:t>
      </w:r>
      <w:r>
        <w:rPr>
          <w:spacing w:val="14"/>
        </w:rPr>
        <w:t> </w:t>
      </w:r>
      <w:r>
        <w:rPr/>
        <w:t>отмывочного</w:t>
      </w:r>
      <w:r>
        <w:rPr>
          <w:spacing w:val="17"/>
        </w:rPr>
        <w:t> </w:t>
      </w:r>
      <w:r>
        <w:rPr/>
        <w:t>буфера</w:t>
      </w:r>
    </w:p>
    <w:p>
      <w:pPr>
        <w:pStyle w:val="BodyText"/>
        <w:jc w:val="both"/>
      </w:pPr>
      <w:r>
        <w:rPr/>
        <w:t>2. После каждой промывки центрифугируют при 11000 об/мин, 1 мин.</w:t>
      </w:r>
    </w:p>
    <w:p>
      <w:pPr>
        <w:spacing w:after="0"/>
        <w:jc w:val="both"/>
        <w:sectPr>
          <w:pgSz w:w="11910" w:h="16840"/>
          <w:pgMar w:header="0" w:footer="1512" w:top="1040" w:bottom="1700" w:left="860" w:right="620"/>
        </w:sectPr>
      </w:pPr>
    </w:p>
    <w:p>
      <w:pPr>
        <w:pStyle w:val="BodyText"/>
        <w:spacing w:before="66"/>
        <w:ind w:right="230" w:firstLine="566"/>
        <w:jc w:val="both"/>
      </w:pPr>
      <w:r>
        <w:rPr/>
        <w:t>Затем вносят по 50 мкл деионизованной воды, нагретой до 70°С, инкубируют 3 мин при комнатной температуре, центрифугируют при 11000 об/мин, 1 мин и элюируют связанную на колонке ДНК в стерильные пронумерованные пробирки типа Эппендорф.</w:t>
      </w:r>
    </w:p>
    <w:p>
      <w:pPr>
        <w:pStyle w:val="BodyText"/>
        <w:ind w:left="0"/>
      </w:pPr>
    </w:p>
    <w:p>
      <w:pPr>
        <w:pStyle w:val="BodyText"/>
        <w:spacing w:before="1"/>
        <w:ind w:right="235" w:firstLine="566"/>
        <w:jc w:val="both"/>
      </w:pPr>
      <w:r>
        <w:rPr/>
        <w:t>Если анализ проводится сразу, переносят образцы ДНК в зону сбора реакционной смеси.</w:t>
      </w:r>
    </w:p>
    <w:p>
      <w:pPr>
        <w:pStyle w:val="BodyText"/>
        <w:ind w:left="1408" w:right="1907"/>
      </w:pPr>
      <w:r>
        <w:rPr/>
        <w:t>Очищают контейнер для мусора с использованными наконечниками. Снимают халат, выбрасывают перчатки, моют руки.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1305" w:right="0" w:hanging="180"/>
        <w:jc w:val="left"/>
      </w:pPr>
      <w:r>
        <w:rPr/>
        <w:t>Выбор последовательности праймеров и</w:t>
      </w:r>
      <w:r>
        <w:rPr>
          <w:spacing w:val="-6"/>
        </w:rPr>
        <w:t> </w:t>
      </w:r>
      <w:r>
        <w:rPr/>
        <w:t>зондов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30" w:firstLine="566"/>
        <w:jc w:val="both"/>
      </w:pPr>
      <w:r>
        <w:rPr/>
        <w:t>Анализ митохондриальной ДНК лошади и поиск  нуклеотидных последовательностей проводили по генетической базе Национального Центра биотехнологической информации США (</w:t>
      </w:r>
      <w:hyperlink r:id="rId14">
        <w:r>
          <w:rPr/>
          <w:t>англ.</w:t>
        </w:r>
      </w:hyperlink>
      <w:r>
        <w:rPr/>
        <w:t>National Center for Biotechnological Information, NCBI), которая находится в открытом доступе в сети Интернет </w:t>
      </w:r>
      <w:r>
        <w:rPr>
          <w:u w:val="single"/>
        </w:rPr>
        <w:t>(</w:t>
      </w:r>
      <w:hyperlink r:id="rId15">
        <w:r>
          <w:rPr>
            <w:u w:val="single"/>
          </w:rPr>
          <w:t>http://ncbi.nlm.nih.gov/</w:t>
        </w:r>
      </w:hyperlink>
      <w:r>
        <w:rPr>
          <w:u w:val="single"/>
        </w:rPr>
        <w:t>).</w:t>
      </w:r>
    </w:p>
    <w:p>
      <w:pPr>
        <w:pStyle w:val="BodyText"/>
        <w:spacing w:before="1"/>
        <w:ind w:right="232" w:firstLine="566"/>
        <w:jc w:val="both"/>
      </w:pPr>
      <w:r>
        <w:rPr/>
        <w:t>Анализ выбранных нуклеотидных последовательностей на вариабельность и поиск консервативных участков, необходимых для выбора праймеров проводили с помощью компьютерных программ CLC SequenceViewer и Primer Express 3 (Applied Biosystems).</w:t>
      </w:r>
    </w:p>
    <w:p>
      <w:pPr>
        <w:pStyle w:val="BodyText"/>
        <w:ind w:right="222" w:firstLine="566"/>
        <w:jc w:val="both"/>
      </w:pPr>
      <w:r>
        <w:rPr/>
        <w:t>Базовой программой при проведении подбора служит компьютерная программа Primer Express 3 (Applied Biosystems), посредством которой осуществляют анализ выбранных участков ДНК для дизайна праймеров и зонда несущего флуорофор и гаситель, который необходим для модификации ПЦР в реальном времени. Для дизайна праймеров был отобран участок митохондриальной ДНК лошади в 850 пар нуклеотидов (ген цитохрома</w:t>
      </w:r>
      <w:r>
        <w:rPr>
          <w:spacing w:val="-2"/>
        </w:rPr>
        <w:t> </w:t>
      </w:r>
      <w:r>
        <w:rPr/>
        <w:t>Б):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shape style="position:absolute;margin-left:79.704002pt;margin-top:14.464243pt;width:478.7pt;height:221.35pt;mso-position-horizontal-relative:page;mso-position-vertical-relative:paragraph;z-index:-8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68" w:lineRule="exact"/>
                    <w:ind w:left="1733"/>
                  </w:pPr>
                  <w:r>
                    <w:rPr/>
                    <w:t>1 gcctattcctagccatacactacacatcagacacgacaactgccttctcatccgtcactc</w:t>
                  </w:r>
                </w:p>
                <w:p>
                  <w:pPr>
                    <w:pStyle w:val="BodyText"/>
                    <w:ind w:left="1733"/>
                  </w:pPr>
                  <w:r>
                    <w:rPr/>
                    <w:t>61 acatctgccgagacgttaactacggatgaattatccgctacctccatgccaacggagcat</w:t>
                  </w:r>
                </w:p>
                <w:p>
                  <w:pPr>
                    <w:pStyle w:val="BodyText"/>
                    <w:ind w:left="1733"/>
                  </w:pPr>
                  <w:r>
                    <w:rPr/>
                    <w:t>121 caatattttttatctgcctcttcattcacgtaggacgcggcctctactacggctcttaca</w:t>
                  </w:r>
                </w:p>
                <w:p>
                  <w:pPr>
                    <w:pStyle w:val="BodyText"/>
                    <w:ind w:left="1708"/>
                  </w:pPr>
                  <w:r>
                    <w:rPr/>
                    <w:t>181 cattcctagagacatgaaacattggaatcatcctacttttcacagttatagctacagcat</w:t>
                  </w:r>
                </w:p>
                <w:p>
                  <w:pPr>
                    <w:pStyle w:val="BodyText"/>
                    <w:ind w:left="1711"/>
                  </w:pPr>
                  <w:r>
                    <w:rPr/>
                    <w:t>241 tcatgggctatgtcctaccatgaggccaaatatccttttgaggagcaacagtcatcacaa</w:t>
                  </w:r>
                </w:p>
                <w:p>
                  <w:pPr>
                    <w:pStyle w:val="BodyText"/>
                    <w:ind w:left="1708"/>
                  </w:pPr>
                  <w:r>
                    <w:rPr/>
                    <w:t>301 acctcctatcagcaattccctacatcggtactaccctcgtcgaatgaatctgaggtggat</w:t>
                  </w:r>
                </w:p>
                <w:p>
                  <w:pPr>
                    <w:pStyle w:val="BodyText"/>
                    <w:ind w:left="1663"/>
                  </w:pPr>
                  <w:r>
                    <w:rPr/>
                    <w:t>361 tctcagtagacaaagccacccttacccgattttttgctttccacttcatcctacccttca</w:t>
                  </w:r>
                </w:p>
                <w:p>
                  <w:pPr>
                    <w:pStyle w:val="BodyText"/>
                    <w:ind w:left="1689"/>
                  </w:pPr>
                  <w:r>
                    <w:rPr/>
                    <w:t>421 tcatcacagccctggtagtcgtacatttactatttcttcacgaaacaggatctaacaacc</w:t>
                  </w:r>
                </w:p>
                <w:p>
                  <w:pPr>
                    <w:pStyle w:val="BodyText"/>
                    <w:ind w:left="1672"/>
                  </w:pPr>
                  <w:r>
                    <w:rPr/>
                    <w:t>481 cctcaggaatcccatccgatatggacaaaatcccattccacccatattatacaattaaag</w:t>
                  </w:r>
                </w:p>
                <w:p>
                  <w:pPr>
                    <w:pStyle w:val="BodyText"/>
                    <w:ind w:left="1733"/>
                  </w:pPr>
                  <w:r>
                    <w:rPr/>
                    <w:t>541 acatcctag</w:t>
                  </w:r>
                  <w:r>
                    <w:rPr>
                      <w:shd w:fill="00FF00" w:color="auto" w:val="clear"/>
                    </w:rPr>
                    <w:t>gactcctcctcctgatcttgct</w:t>
                  </w:r>
                  <w:r>
                    <w:rPr/>
                    <w:t>cctactaactctagtattattctcccccg</w:t>
                  </w:r>
                </w:p>
                <w:p>
                  <w:pPr>
                    <w:pStyle w:val="BodyText"/>
                    <w:ind w:left="1682"/>
                  </w:pPr>
                  <w:r>
                    <w:rPr/>
                    <w:t>601 acctcctaggagacccagacaattacacc</w:t>
                  </w:r>
                  <w:r>
                    <w:rPr>
                      <w:shd w:fill="FFFF00" w:color="auto" w:val="clear"/>
                    </w:rPr>
                    <w:t>ccagctaaccctctcagcac</w:t>
                  </w:r>
                  <w:r>
                    <w:rPr/>
                    <w:t>tccccctcata</w:t>
                  </w:r>
                </w:p>
                <w:p>
                  <w:pPr>
                    <w:pStyle w:val="BodyText"/>
                    <w:ind w:left="1646"/>
                  </w:pPr>
                  <w:r>
                    <w:rPr/>
                    <w:t>661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ttaaaccagaatggtacttc</w:t>
                  </w:r>
                  <w:r>
                    <w:rPr>
                      <w:shd w:fill="00FF00" w:color="auto" w:val="clear"/>
                    </w:rPr>
                    <w:t>ctgtttgcctacgccatcctac</w:t>
                  </w:r>
                  <w:r>
                    <w:rPr/>
                    <w:t>gctccattcccaacaaac</w:t>
                  </w:r>
                </w:p>
                <w:p>
                  <w:pPr>
                    <w:pStyle w:val="BodyText"/>
                    <w:ind w:left="1639"/>
                  </w:pPr>
                  <w:r>
                    <w:rPr/>
                    <w:t>721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taggcggcgtattagccctaatcctctccatcctgatcctagcactcatccccatcctcc</w:t>
                  </w:r>
                </w:p>
                <w:p>
                  <w:pPr>
                    <w:pStyle w:val="BodyText"/>
                    <w:ind w:left="1619"/>
                  </w:pPr>
                  <w:r>
                    <w:rPr/>
                    <w:t>781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acatatcaaaacaacgaagcataatattccggcctctcagccaatgcgtattctgactct</w:t>
                  </w:r>
                </w:p>
                <w:p>
                  <w:pPr>
                    <w:pStyle w:val="BodyText"/>
                    <w:spacing w:before="1"/>
                    <w:ind w:left="1579"/>
                  </w:pPr>
                  <w:r>
                    <w:rPr/>
                    <w:t>841 tagtggcaga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90"/>
        <w:ind w:right="223" w:firstLine="566"/>
        <w:jc w:val="both"/>
      </w:pPr>
      <w:r>
        <w:rPr/>
        <w:t>В результате анализа из приведенных программой вариантов выбраны праймеры, включая зонд, отвечающие всем вышеуказанным требованиям и наиболее оптимальные для целей идентификации ДНК лошади для видовой принадлежности мяса и мясных ингредиентов в составе пищевых продуктов.</w:t>
      </w:r>
    </w:p>
    <w:p>
      <w:pPr>
        <w:pStyle w:val="BodyText"/>
        <w:spacing w:before="1"/>
        <w:ind w:right="225" w:firstLine="566"/>
        <w:jc w:val="both"/>
      </w:pPr>
      <w:r>
        <w:rPr/>
        <w:t>Прямой праймер - Name: Equus caballus (horseflesh)_550F – длина 22. Sequence: 5' GACTCCTCCTCCTGATCTTGCT 3'.Температура плавления праймера – 61,27 </w:t>
      </w:r>
      <w:r>
        <w:rPr>
          <w:vertAlign w:val="superscript"/>
        </w:rPr>
        <w:t>о</w:t>
      </w:r>
      <w:r>
        <w:rPr>
          <w:vertAlign w:val="baseline"/>
        </w:rPr>
        <w:t>С, gc 54.55</w:t>
      </w:r>
    </w:p>
    <w:p>
      <w:pPr>
        <w:pStyle w:val="BodyText"/>
      </w:pPr>
      <w:r>
        <w:rPr/>
        <w:t>%.</w:t>
      </w:r>
    </w:p>
    <w:p>
      <w:pPr>
        <w:spacing w:after="0"/>
        <w:sectPr>
          <w:pgSz w:w="11910" w:h="16840"/>
          <w:pgMar w:header="0" w:footer="1512" w:top="1040" w:bottom="1700" w:left="860" w:right="620"/>
        </w:sectPr>
      </w:pPr>
    </w:p>
    <w:p>
      <w:pPr>
        <w:pStyle w:val="BodyText"/>
        <w:spacing w:before="66"/>
        <w:ind w:right="222" w:firstLine="566"/>
        <w:jc w:val="both"/>
      </w:pPr>
      <w:r>
        <w:rPr/>
        <w:t>Обратный праймер - Name: Equus caballus (horseflesh)_702R - длина 22. Sequence: 5'GTAGGATGGCGTAGGCAAACAG3'.Температура плавления праймера – 63,05 </w:t>
      </w:r>
      <w:r>
        <w:rPr>
          <w:vertAlign w:val="superscript"/>
        </w:rPr>
        <w:t>о</w:t>
      </w:r>
      <w:r>
        <w:rPr>
          <w:vertAlign w:val="baseline"/>
        </w:rPr>
        <w:t>С, gc54.55 %.</w:t>
      </w:r>
    </w:p>
    <w:p>
      <w:pPr>
        <w:pStyle w:val="BodyText"/>
        <w:spacing w:before="1"/>
        <w:ind w:right="223" w:firstLine="566"/>
        <w:jc w:val="both"/>
      </w:pPr>
      <w:r>
        <w:rPr/>
        <w:t>Зонд - Name: Equus caballus (horseflesh)_630 - длина 20, gc 60.00 %. Зонд 5'CCAGCTAACCCTCTCAGCAC3'. Флуоресцентная метка – FAM, гаситель – MGBNFQ.</w:t>
      </w:r>
    </w:p>
    <w:p>
      <w:pPr>
        <w:pStyle w:val="BodyText"/>
        <w:ind w:right="234" w:firstLine="566"/>
        <w:jc w:val="both"/>
      </w:pPr>
      <w:r>
        <w:rPr/>
        <w:t>Специфичность выбранных праймеров теоретически проверена с помощью интерактивной системы BLAST (</w:t>
      </w:r>
      <w:hyperlink r:id="rId16">
        <w:r>
          <w:rPr>
            <w:color w:val="0000FF"/>
            <w:u w:val="single" w:color="0000FF"/>
          </w:rPr>
          <w:t>http://www.ncbi.nlm.nih.gov/tools/primer-blast</w:t>
        </w:r>
      </w:hyperlink>
      <w:r>
        <w:rPr>
          <w:color w:val="0000FF"/>
          <w:u w:val="single" w:color="0000FF"/>
        </w:rPr>
        <w:t>).</w:t>
      </w:r>
    </w:p>
    <w:p>
      <w:pPr>
        <w:pStyle w:val="BodyText"/>
        <w:ind w:right="233" w:firstLine="566"/>
        <w:jc w:val="both"/>
      </w:pPr>
      <w:r>
        <w:rPr/>
        <w:t>Использование разработанных отечественных праймеров и зонда позволит эффективно определять ДНК лошади в мясных продуктах путем амплификации видоспецифического участка ДНК в 153 п.н. и существенно сократить материальные затраты.</w:t>
      </w:r>
    </w:p>
    <w:p>
      <w:pPr>
        <w:pStyle w:val="BodyText"/>
        <w:ind w:firstLine="707"/>
      </w:pPr>
      <w:r>
        <w:rPr/>
        <w:t>Для дизайна праймеров и зонда для видовой амплификации ДНК КРС отобрaн сиквенс генa цитохромa В митохондриальной ДНК коровы рaзмером 960 п.н.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shape style="position:absolute;margin-left:109.82pt;margin-top:14.44523pt;width:418.3pt;height:221.45pt;mso-position-horizontal-relative:page;mso-position-vertical-relative:paragraph;z-index:-8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70" w:lineRule="exact"/>
                    <w:ind w:left="772" w:right="781"/>
                    <w:jc w:val="center"/>
                  </w:pPr>
                  <w:r>
                    <w:rPr/>
                    <w:t>14581 agccccatcaaacatttcatcatgatgaaatttcggttccctcctgggaatctgcctaat</w:t>
                  </w:r>
                </w:p>
                <w:p>
                  <w:pPr>
                    <w:pStyle w:val="BodyText"/>
                    <w:ind w:left="936"/>
                  </w:pPr>
                  <w:r>
                    <w:rPr/>
                    <w:t>14641 cctacaaatcctcacaggcctattcctagcaatacactacacatccgacacaacaacagc</w:t>
                  </w:r>
                </w:p>
                <w:p>
                  <w:pPr>
                    <w:pStyle w:val="BodyText"/>
                    <w:ind w:left="921"/>
                  </w:pPr>
                  <w:r>
                    <w:rPr/>
                    <w:t>14701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attctcctctgttacccatatctgccgagacgtgaactacggctgaatcatccgatacat</w:t>
                  </w:r>
                </w:p>
                <w:p>
                  <w:pPr>
                    <w:pStyle w:val="BodyText"/>
                    <w:spacing w:line="275" w:lineRule="exact"/>
                    <w:ind w:left="772" w:right="781"/>
                    <w:jc w:val="center"/>
                  </w:pPr>
                  <w:r>
                    <w:rPr/>
                    <w:t>14761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acacgcaaacggagcttcaatgttttttatctgcttatatatgcacgtaggacgaggctt</w:t>
                  </w:r>
                </w:p>
                <w:p>
                  <w:pPr>
                    <w:pStyle w:val="BodyText"/>
                    <w:spacing w:line="275" w:lineRule="exact"/>
                    <w:ind w:left="774" w:right="776"/>
                    <w:jc w:val="center"/>
                  </w:pPr>
                  <w:r>
                    <w:rPr/>
                    <w:t>14821 atattacgggtcttacacttttctagaaacatgaaatattggagtaatccttctgctcac</w:t>
                  </w:r>
                </w:p>
                <w:p>
                  <w:pPr>
                    <w:pStyle w:val="BodyText"/>
                    <w:ind w:left="774" w:right="662"/>
                    <w:jc w:val="center"/>
                  </w:pPr>
                  <w:r>
                    <w:rPr/>
                    <w:t>14881 agtaatagccacagcatttataggatacgtcctaccatgaggacaaatatcattctgagg</w:t>
                  </w:r>
                </w:p>
                <w:p>
                  <w:pPr>
                    <w:pStyle w:val="BodyText"/>
                    <w:ind w:left="773" w:right="781"/>
                    <w:jc w:val="center"/>
                  </w:pPr>
                  <w:r>
                    <w:rPr/>
                    <w:t>14941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agcaacagtcatcaccaacctcttatcagcaatcccatacatcggcacaaatttagtcga</w:t>
                  </w:r>
                </w:p>
                <w:p>
                  <w:pPr>
                    <w:pStyle w:val="BodyText"/>
                    <w:ind w:left="773" w:right="781"/>
                    <w:jc w:val="center"/>
                  </w:pPr>
                  <w:r>
                    <w:rPr/>
                    <w:t>15001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atgaatctgaggcggattctcagtagacaaagcaacccttacccgattcttcgctttcca</w:t>
                  </w:r>
                </w:p>
                <w:p>
                  <w:pPr>
                    <w:pStyle w:val="BodyText"/>
                    <w:ind w:left="774" w:right="778"/>
                    <w:jc w:val="center"/>
                  </w:pPr>
                  <w:r>
                    <w:rPr/>
                    <w:t>15061 ttttatccttccatttatcatcatagcaattgccatagtccacctactattcctccacga</w:t>
                  </w:r>
                </w:p>
                <w:p>
                  <w:pPr>
                    <w:pStyle w:val="BodyText"/>
                    <w:ind w:left="933"/>
                  </w:pPr>
                  <w:r>
                    <w:rPr/>
                    <w:t>15121 aacaggctccaacaacccaacaggaatttcctcagacgtagacaaaatcccattccaccc</w:t>
                  </w:r>
                </w:p>
                <w:p>
                  <w:pPr>
                    <w:pStyle w:val="BodyText"/>
                    <w:spacing w:before="1"/>
                    <w:ind w:left="772" w:right="781"/>
                    <w:jc w:val="center"/>
                  </w:pPr>
                  <w:r>
                    <w:rPr/>
                    <w:t>15181 ctactataccattaaggacatcttaggggccctcttactaattctagctctaatactact</w:t>
                  </w:r>
                </w:p>
                <w:p>
                  <w:pPr>
                    <w:pStyle w:val="BodyText"/>
                    <w:ind w:left="774" w:right="781"/>
                    <w:jc w:val="center"/>
                  </w:pPr>
                  <w:r>
                    <w:rPr/>
                    <w:t>15241 agtactattcgcacccgacctcctcggagacccagataactacaccccagccaatccact</w:t>
                  </w:r>
                </w:p>
                <w:p>
                  <w:pPr>
                    <w:pStyle w:val="BodyText"/>
                    <w:ind w:left="909"/>
                  </w:pPr>
                  <w:r>
                    <w:rPr/>
                    <w:t>15301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caacacaccccctcacatcaaacccgagtgatacttcttatttgcatacgcaatcttacg</w:t>
                  </w:r>
                </w:p>
                <w:p>
                  <w:pPr>
                    <w:pStyle w:val="BodyText"/>
                    <w:ind w:left="914"/>
                  </w:pPr>
                  <w:r>
                    <w:rPr/>
                    <w:t>15361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atcaatccccaacaaactaggaggagtactagccctag</w:t>
                  </w:r>
                  <w:r>
                    <w:rPr>
                      <w:color w:val="00AF50"/>
                      <w:shd w:fill="FFFF00" w:color="auto" w:val="clear"/>
                    </w:rPr>
                    <w:t>ccttctctatcctaattcttgc</w:t>
                  </w:r>
                </w:p>
                <w:p>
                  <w:pPr>
                    <w:pStyle w:val="BodyText"/>
                    <w:ind w:left="774" w:right="777"/>
                    <w:jc w:val="center"/>
                  </w:pPr>
                  <w:r>
                    <w:rPr/>
                    <w:t>15421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color w:val="00AF50"/>
                      <w:shd w:fill="FFFF00" w:color="auto" w:val="clear"/>
                    </w:rPr>
                    <w:t>tctaa</w:t>
                  </w:r>
                  <w:r>
                    <w:rPr/>
                    <w:t>tc</w:t>
                  </w:r>
                  <w:r>
                    <w:rPr>
                      <w:color w:val="FF0000"/>
                      <w:shd w:fill="00FFFF" w:color="auto" w:val="clear"/>
                      <w:u w:val="single" w:color="FF0000"/>
                    </w:rPr>
                    <w:t>cccctactacacacctccaaacaacgaagcataa</w:t>
                  </w:r>
                  <w:r>
                    <w:rPr/>
                    <w:t>tattccgaccactcagcca</w:t>
                  </w:r>
                </w:p>
                <w:p>
                  <w:pPr>
                    <w:pStyle w:val="BodyText"/>
                    <w:ind w:left="767" w:right="781"/>
                    <w:jc w:val="center"/>
                  </w:pPr>
                  <w:r>
                    <w:rPr/>
                    <w:t>15481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atgcct</w:t>
                  </w:r>
                  <w:r>
                    <w:rPr>
                      <w:color w:val="00AF50"/>
                      <w:shd w:fill="FFFF00" w:color="auto" w:val="clear"/>
                    </w:rPr>
                    <w:t>attctgagccctagtagcagaccta</w:t>
                  </w:r>
                  <w:r>
                    <w:rPr/>
                    <w:t>ctgacactcacatgaattggaggacaacc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90"/>
        <w:ind w:right="227" w:firstLine="707"/>
        <w:jc w:val="both"/>
      </w:pPr>
      <w:r>
        <w:rPr/>
        <w:t>Для коровы (BosTaurus) выбрaнные прaймеры состояли из следующих нуклеотидных последовaтельностей:</w:t>
      </w:r>
    </w:p>
    <w:p>
      <w:pPr>
        <w:pStyle w:val="BodyText"/>
        <w:tabs>
          <w:tab w:pos="3761" w:val="left" w:leader="none"/>
        </w:tabs>
        <w:ind w:left="1550"/>
      </w:pPr>
      <w:r>
        <w:rPr/>
        <w:t>Прямой</w:t>
      </w:r>
      <w:r>
        <w:rPr>
          <w:spacing w:val="-3"/>
        </w:rPr>
        <w:t> </w:t>
      </w:r>
      <w:r>
        <w:rPr/>
        <w:t>прaймер:</w:t>
        <w:tab/>
        <w:t>5`-</w:t>
      </w:r>
      <w:r>
        <w:rPr>
          <w:spacing w:val="-1"/>
        </w:rPr>
        <w:t> </w:t>
      </w:r>
      <w:r>
        <w:rPr/>
        <w:t>CCTTCTCTATCCTAATTCTTGCTCTAA-3`;</w:t>
      </w:r>
    </w:p>
    <w:p>
      <w:pPr>
        <w:pStyle w:val="BodyText"/>
        <w:spacing w:line="275" w:lineRule="exact" w:before="1"/>
        <w:ind w:left="1550"/>
      </w:pPr>
      <w:r>
        <w:rPr/>
        <w:t>Обрaтный прaймер : 5`- TAGGTCTGCTACTAGGGCTCAGAAT-3`;</w:t>
      </w:r>
    </w:p>
    <w:p>
      <w:pPr>
        <w:pStyle w:val="BodyText"/>
        <w:tabs>
          <w:tab w:pos="3974" w:val="left" w:leader="none"/>
        </w:tabs>
        <w:spacing w:line="275" w:lineRule="exact"/>
        <w:ind w:left="1550"/>
      </w:pPr>
      <w:r>
        <w:rPr/>
        <w:t>Зонд:</w:t>
        <w:tab/>
        <w:t>5`-CCCCTACTACACACCTCCAAACAACGAAGCATAA-3`.</w:t>
      </w:r>
    </w:p>
    <w:p>
      <w:pPr>
        <w:pStyle w:val="BodyText"/>
      </w:pPr>
      <w:r>
        <w:rPr/>
        <w:t>Флуоресцентная метка – FAM, гаситель – MGBNFQ.</w:t>
      </w:r>
    </w:p>
    <w:p>
      <w:pPr>
        <w:pStyle w:val="BodyText"/>
        <w:ind w:right="222" w:firstLine="707"/>
        <w:jc w:val="both"/>
      </w:pPr>
      <w:r>
        <w:rPr/>
        <w:t>Тaким обрaзом, в результaте исследовaний определены специфические нуклеотидные последовaтельности исследуемых ДНК лошaди и коровы, выбрaнa перспективнaя мaтрицa в виде генa цитохромa В и проведен дизайн видоспецифичных олигонуклеотидных прaймеров и флуоресцентно-меченых зондов для ПЦР идентификации в режиме реального времени ДНК лошaди ((Equus caballus) и коровы (Bos Taurus).</w:t>
      </w:r>
    </w:p>
    <w:p>
      <w:pPr>
        <w:pStyle w:val="BodyText"/>
        <w:spacing w:before="5"/>
        <w:ind w:left="0"/>
      </w:pPr>
    </w:p>
    <w:p>
      <w:pPr>
        <w:pStyle w:val="Heading1"/>
        <w:ind w:left="842"/>
      </w:pPr>
      <w:r>
        <w:rPr/>
        <w:t>7. Проведение амплификации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25" w:firstLine="566"/>
        <w:jc w:val="both"/>
      </w:pPr>
      <w:r>
        <w:rPr/>
        <w:t>ПЦР проводят в объеме 25 мкл: 20 мкл ПЦР смесь и 5 мкл ДНК (50 нг). Реакционную смесь готовят на N количество образцов, в которые входят отрицательный и положительный контроли. Рекомендуется перед постановкой в амплификатор осадить капли со стенок пробирок кратким центрифугированием на вортексе</w:t>
      </w:r>
      <w:r>
        <w:rPr>
          <w:spacing w:val="-10"/>
        </w:rPr>
        <w:t> </w:t>
      </w:r>
      <w:r>
        <w:rPr/>
        <w:t>(1-3сек).</w:t>
      </w:r>
    </w:p>
    <w:p>
      <w:pPr>
        <w:spacing w:after="0"/>
        <w:jc w:val="both"/>
        <w:sectPr>
          <w:pgSz w:w="11910" w:h="16840"/>
          <w:pgMar w:header="0" w:footer="1512" w:top="1040" w:bottom="1700" w:left="860" w:right="620"/>
        </w:sectPr>
      </w:pPr>
    </w:p>
    <w:p>
      <w:pPr>
        <w:pStyle w:val="BodyText"/>
        <w:spacing w:before="66"/>
        <w:ind w:right="225" w:firstLine="566"/>
        <w:jc w:val="both"/>
      </w:pPr>
      <w:r>
        <w:rPr/>
        <w:t>Пробирки-стрипы ставят в амплификатор, работающий в режиме реального времени, и запускают на амплификаторе программу (таблица 1).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</w:pPr>
      <w:r>
        <w:rPr/>
        <w:t>Таблица 1 - Программа амплификации ДНК</w:t>
      </w:r>
    </w:p>
    <w:p>
      <w:pPr>
        <w:pStyle w:val="BodyText"/>
        <w:spacing w:before="7" w:after="1"/>
        <w:ind w:left="0"/>
      </w:pPr>
    </w:p>
    <w:tbl>
      <w:tblPr>
        <w:tblW w:w="0" w:type="auto"/>
        <w:jc w:val="left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2364"/>
        <w:gridCol w:w="1843"/>
        <w:gridCol w:w="2834"/>
      </w:tblGrid>
      <w:tr>
        <w:trPr>
          <w:trHeight w:val="277" w:hRule="atLeast"/>
        </w:trPr>
        <w:tc>
          <w:tcPr>
            <w:tcW w:w="1889" w:type="dxa"/>
          </w:tcPr>
          <w:p>
            <w:pPr>
              <w:pStyle w:val="TableParagraph"/>
              <w:spacing w:line="258" w:lineRule="exact"/>
              <w:ind w:left="654" w:right="646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</w:p>
        </w:tc>
        <w:tc>
          <w:tcPr>
            <w:tcW w:w="7041" w:type="dxa"/>
            <w:gridSpan w:val="3"/>
          </w:tcPr>
          <w:p>
            <w:pPr>
              <w:pStyle w:val="TableParagraph"/>
              <w:spacing w:line="258" w:lineRule="exact"/>
              <w:ind w:left="1588"/>
              <w:rPr>
                <w:sz w:val="24"/>
              </w:rPr>
            </w:pPr>
            <w:r>
              <w:rPr>
                <w:sz w:val="24"/>
              </w:rPr>
              <w:t>Амплификаторы «Applied Biosystem»</w:t>
            </w:r>
          </w:p>
        </w:tc>
      </w:tr>
      <w:tr>
        <w:trPr>
          <w:trHeight w:val="275" w:hRule="atLeast"/>
        </w:trPr>
        <w:tc>
          <w:tcPr>
            <w:tcW w:w="18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spacing w:line="256" w:lineRule="exact"/>
              <w:ind w:left="502" w:right="494"/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350" w:right="343"/>
              <w:jc w:val="center"/>
              <w:rPr>
                <w:sz w:val="24"/>
              </w:rPr>
            </w:pPr>
            <w:r>
              <w:rPr>
                <w:sz w:val="24"/>
              </w:rPr>
              <w:t>Время, сек</w:t>
            </w:r>
          </w:p>
        </w:tc>
        <w:tc>
          <w:tcPr>
            <w:tcW w:w="2834" w:type="dxa"/>
          </w:tcPr>
          <w:p>
            <w:pPr>
              <w:pStyle w:val="TableParagraph"/>
              <w:spacing w:line="256" w:lineRule="exact"/>
              <w:ind w:left="785" w:right="773"/>
              <w:jc w:val="center"/>
              <w:rPr>
                <w:sz w:val="24"/>
              </w:rPr>
            </w:pPr>
            <w:r>
              <w:rPr>
                <w:sz w:val="24"/>
              </w:rPr>
              <w:t>Повторения</w:t>
            </w:r>
          </w:p>
        </w:tc>
      </w:tr>
      <w:tr>
        <w:trPr>
          <w:trHeight w:val="275" w:hRule="atLeast"/>
        </w:trPr>
        <w:tc>
          <w:tcPr>
            <w:tcW w:w="18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4" w:type="dxa"/>
          </w:tcPr>
          <w:p>
            <w:pPr>
              <w:pStyle w:val="TableParagraph"/>
              <w:spacing w:line="256" w:lineRule="exact"/>
              <w:ind w:left="501" w:right="49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С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28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8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4" w:type="dxa"/>
          </w:tcPr>
          <w:p>
            <w:pPr>
              <w:pStyle w:val="TableParagraph"/>
              <w:spacing w:line="256" w:lineRule="exact"/>
              <w:ind w:left="501" w:right="49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С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4" w:type="dxa"/>
          </w:tcPr>
          <w:p>
            <w:pPr>
              <w:pStyle w:val="TableParagraph"/>
              <w:spacing w:line="256" w:lineRule="exact"/>
              <w:ind w:left="783" w:right="77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275" w:hRule="atLeast"/>
        </w:trPr>
        <w:tc>
          <w:tcPr>
            <w:tcW w:w="188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4" w:type="dxa"/>
          </w:tcPr>
          <w:p>
            <w:pPr>
              <w:pStyle w:val="TableParagraph"/>
              <w:spacing w:line="256" w:lineRule="exact"/>
              <w:ind w:left="501" w:right="49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С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ind w:right="224" w:firstLine="566"/>
        <w:jc w:val="both"/>
      </w:pPr>
      <w:r>
        <w:rPr/>
        <w:t>Детекция продуктов амплификации производится в реальном времени с использованием программного компьютерного обеспечения и выводится на монитор (рисунки 1, 2). В этом методе используют флуоресцентно-меченый праймер или ДНК- зонд для точного измерения количества продукта по мере его</w:t>
      </w:r>
      <w:r>
        <w:rPr>
          <w:spacing w:val="-13"/>
        </w:rPr>
        <w:t> </w:t>
      </w:r>
      <w:r>
        <w:rPr/>
        <w:t>накопления.</w:t>
      </w:r>
    </w:p>
    <w:p>
      <w:pPr>
        <w:pStyle w:val="BodyText"/>
        <w:spacing w:before="1"/>
        <w:ind w:right="225" w:firstLine="566"/>
        <w:jc w:val="both"/>
      </w:pPr>
      <w:r>
        <w:rPr/>
        <w:t>По полученным кривым флуоресценции накопленных продуктов, полученных в ходе ПЦР в режиме реального времени, оценивается положительный и отрицательный результаты. На рисунке 1 показан положительный результат образования продукта ПЦР – видоспецифического фрагмента ДНК лошади; на рис. 2 – отрицательный результат в виде отсутствия видоспецифического фрагмента ДНК лошади.</w:t>
      </w:r>
    </w:p>
    <w:p>
      <w:pPr>
        <w:pStyle w:val="BodyText"/>
        <w:ind w:right="226" w:firstLine="566"/>
        <w:jc w:val="both"/>
      </w:pPr>
      <w:r>
        <w:rPr/>
        <w:t>Применение разработанных пары праймеров и флуоресцентно-меченного ДНК- зонда для видоспецифической детекции ДНК лошади при определении видовой принадлежности мясной продукции методом ПЦР в режиме реального времени позволяет обнаруживать ДНК данного вида с высокой степенью точности и в короткие</w:t>
      </w:r>
      <w:r>
        <w:rPr>
          <w:spacing w:val="-11"/>
        </w:rPr>
        <w:t> </w:t>
      </w:r>
      <w:r>
        <w:rPr/>
        <w:t>сроки.</w:t>
      </w:r>
    </w:p>
    <w:p>
      <w:pPr>
        <w:pStyle w:val="BodyText"/>
        <w:spacing w:before="10"/>
        <w:ind w:left="0"/>
        <w:rPr>
          <w:sz w:val="20"/>
        </w:rPr>
      </w:pPr>
      <w:r>
        <w:rPr/>
        <w:pict>
          <v:group style="position:absolute;margin-left:120.260002pt;margin-top:14.221348pt;width:442.8pt;height:174.15pt;mso-position-horizontal-relative:page;mso-position-vertical-relative:paragraph;z-index:-832;mso-wrap-distance-left:0;mso-wrap-distance-right:0" coordorigin="2405,284" coordsize="8856,3483">
            <v:line style="position:absolute" from="2415,289" to="6942,289" stroked="true" strokeweight=".48001pt" strokecolor="#000000">
              <v:stroke dashstyle="solid"/>
            </v:line>
            <v:line style="position:absolute" from="6952,289" to="11162,289" stroked="true" strokeweight=".48001pt" strokecolor="#000000">
              <v:stroke dashstyle="solid"/>
            </v:line>
            <v:line style="position:absolute" from="2410,284" to="2410,3767" stroked="true" strokeweight=".48pt" strokecolor="#000000">
              <v:stroke dashstyle="solid"/>
            </v:line>
            <v:line style="position:absolute" from="2415,3762" to="6942,3762" stroked="true" strokeweight=".48004pt" strokecolor="#000000">
              <v:stroke dashstyle="solid"/>
            </v:line>
            <v:line style="position:absolute" from="6947,284" to="6947,3767" stroked="true" strokeweight=".48001pt" strokecolor="#000000">
              <v:stroke dashstyle="solid"/>
            </v:line>
            <v:line style="position:absolute" from="6952,3762" to="11162,3762" stroked="true" strokeweight=".48004pt" strokecolor="#000000">
              <v:stroke dashstyle="solid"/>
            </v:line>
            <v:line style="position:absolute" from="11167,284" to="11167,3767" stroked="true" strokeweight=".47998pt" strokecolor="#000000">
              <v:stroke dashstyle="solid"/>
            </v:line>
            <v:shape style="position:absolute;left:2548;top:294;width:4494;height:3400" type="#_x0000_t75" stroked="false">
              <v:imagedata r:id="rId17" o:title=""/>
            </v:shape>
            <v:shape style="position:absolute;left:7082;top:294;width:4179;height:3462" type="#_x0000_t75" stroked="false">
              <v:imagedata r:id="rId18" o:title="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before="90"/>
        <w:ind w:left="1984" w:right="858" w:firstLine="69"/>
      </w:pPr>
      <w:r>
        <w:rPr/>
        <w:t>Рисунок 1 – Кривая амплификации: а) ПЦР - продукта – ДНК лошади; б) свидетельствующая об отсутствии видоспецифической ДНК лошади</w:t>
      </w:r>
    </w:p>
    <w:p>
      <w:pPr>
        <w:pStyle w:val="BodyText"/>
        <w:ind w:left="0"/>
      </w:pPr>
    </w:p>
    <w:p>
      <w:pPr>
        <w:pStyle w:val="BodyText"/>
        <w:ind w:right="225" w:firstLine="566"/>
        <w:jc w:val="both"/>
      </w:pPr>
      <w:r>
        <w:rPr/>
        <w:t>В качестве отрицательного контроля используют «пустую» пробу, т.е. образец, содержащий вместо ДНК определяемых биологических объектов 5 мкл деионизированной стерильной воды, в качестве положительного контроля - чистый генетический материал (образец ДНК) изучаемых биологических объектов.</w:t>
      </w:r>
    </w:p>
    <w:p>
      <w:pPr>
        <w:pStyle w:val="BodyText"/>
        <w:ind w:right="227" w:firstLine="566"/>
        <w:jc w:val="both"/>
      </w:pPr>
      <w:r>
        <w:rPr/>
        <w:t>В качестве флуоресцентного красителя выбирают FAM, а глушителя None. Время ампилификации на амплификаторе примерно 2 часа.</w:t>
      </w:r>
    </w:p>
    <w:p>
      <w:pPr>
        <w:spacing w:after="0"/>
        <w:jc w:val="both"/>
        <w:sectPr>
          <w:pgSz w:w="11910" w:h="16840"/>
          <w:pgMar w:header="0" w:footer="1512" w:top="1040" w:bottom="1700" w:left="860" w:right="620"/>
        </w:sectPr>
      </w:pPr>
    </w:p>
    <w:p>
      <w:pPr>
        <w:pStyle w:val="Heading1"/>
        <w:numPr>
          <w:ilvl w:val="0"/>
          <w:numId w:val="2"/>
        </w:numPr>
        <w:tabs>
          <w:tab w:pos="1023" w:val="left" w:leader="none"/>
        </w:tabs>
        <w:spacing w:line="240" w:lineRule="auto" w:before="71" w:after="0"/>
        <w:ind w:left="1022" w:right="0" w:hanging="180"/>
        <w:jc w:val="left"/>
      </w:pPr>
      <w:r>
        <w:rPr/>
        <w:t>Детекция продуктов ПЦР-амплификации методом РТ</w:t>
      </w:r>
      <w:r>
        <w:rPr>
          <w:spacing w:val="-7"/>
        </w:rPr>
        <w:t> </w:t>
      </w:r>
      <w:r>
        <w:rPr/>
        <w:t>ПЦР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26" w:firstLine="566"/>
        <w:jc w:val="both"/>
      </w:pPr>
      <w:r>
        <w:rPr/>
        <w:t>Для создания эксперимента на компьютере необходимо щелкнуть на значке программного обеспечения StepOne или выбрать Start (Пуск) → All programs (Все программы) → Applied Biosystems → StepOne Software (Программное обеспечение StepOne) → software name(название программы).</w:t>
      </w:r>
    </w:p>
    <w:p>
      <w:pPr>
        <w:pStyle w:val="BodyText"/>
        <w:ind w:right="230" w:firstLine="566"/>
        <w:jc w:val="both"/>
      </w:pPr>
      <w:r>
        <w:rPr/>
        <w:t>В диалоговом окне «Входа» в программу создать новую учетную запись пользователя. В поле «username»ввести «имя пользователя». В этом поле нельзя оставлять пробелы. Щелкнуть по кнопке «ОК».</w:t>
      </w:r>
    </w:p>
    <w:p>
      <w:pPr>
        <w:pStyle w:val="BodyText"/>
        <w:ind w:right="226" w:firstLine="566"/>
        <w:jc w:val="both"/>
      </w:pPr>
      <w:r>
        <w:rPr/>
        <w:t>В стартовом окне щелкнуть окно «Design Wizard», чтобы открыть окно «Design Wizard». Design Wizard отображает тип эксперимента по построению относительной калибровочной кривой. Окно программы может меняться в зависимости от того, какой тип эксперимента выбирают. Окно настройки относительного количественного анализа не отображается до тех пор, пока не выбрать тип эксперимента – построение калибровочной кривой или сравнения</w:t>
      </w:r>
      <w:r>
        <w:rPr>
          <w:spacing w:val="-5"/>
        </w:rPr>
        <w:t> </w:t>
      </w:r>
      <w:r>
        <w:rPr/>
        <w:t>Ст.</w:t>
      </w:r>
    </w:p>
    <w:p>
      <w:pPr>
        <w:pStyle w:val="BodyText"/>
        <w:spacing w:before="1"/>
        <w:ind w:right="224" w:firstLine="566"/>
        <w:jc w:val="both"/>
      </w:pPr>
      <w:r>
        <w:rPr/>
        <w:t>Далее в окне свойства эксперимента следует ввести идентификаторы эксперимента, выбрать тип инструмента, а затем выбрать тип эксперимента, дизайн которого планируется</w:t>
      </w:r>
      <w:r>
        <w:rPr>
          <w:spacing w:val="-1"/>
        </w:rPr>
        <w:t> </w:t>
      </w:r>
      <w:r>
        <w:rPr/>
        <w:t>разработать.</w:t>
      </w:r>
    </w:p>
    <w:p>
      <w:pPr>
        <w:pStyle w:val="BodyText"/>
        <w:ind w:right="222" w:firstLine="566"/>
        <w:jc w:val="both"/>
      </w:pPr>
      <w:r>
        <w:rPr/>
        <w:t>Выбрать реагенты, для выявления амплификации и количественного анализа целевой последовательности в образцах. Выбирают подходящую скорость рампы для работы с инструментом. Выбрать Standart, так как используются стандартные реактивы для проведения ПЦР. Выбрать подходящий шаблон ПЦР: выбирают gDNA (genomic DNA), так как была извлечена геномная ДНК из ткани или образца и в реакционную смесь добавлена очищенная геномная</w:t>
      </w:r>
      <w:r>
        <w:rPr>
          <w:spacing w:val="-2"/>
        </w:rPr>
        <w:t> </w:t>
      </w:r>
      <w:r>
        <w:rPr/>
        <w:t>ДНК.</w:t>
      </w:r>
    </w:p>
    <w:p>
      <w:pPr>
        <w:pStyle w:val="BodyText"/>
        <w:tabs>
          <w:tab w:pos="2321" w:val="left" w:leader="none"/>
          <w:tab w:pos="3362" w:val="left" w:leader="none"/>
          <w:tab w:pos="5200" w:val="left" w:leader="none"/>
          <w:tab w:pos="6339" w:val="left" w:leader="none"/>
          <w:tab w:pos="7145" w:val="left" w:leader="none"/>
          <w:tab w:pos="8221" w:val="left" w:leader="none"/>
          <w:tab w:pos="9072" w:val="left" w:leader="none"/>
          <w:tab w:pos="9525" w:val="left" w:leader="none"/>
        </w:tabs>
        <w:ind w:left="1408"/>
      </w:pPr>
      <w:r>
        <w:rPr/>
        <w:t>Запуск</w:t>
        <w:tab/>
        <w:t>прогона</w:t>
        <w:tab/>
        <w:t>осуществляется</w:t>
        <w:tab/>
        <w:t>щелчком</w:t>
        <w:tab/>
        <w:t>левой</w:t>
        <w:tab/>
        <w:t>кнопкой</w:t>
        <w:tab/>
        <w:t>мыши</w:t>
        <w:tab/>
        <w:t>на</w:t>
        <w:tab/>
        <w:t>значке</w:t>
      </w:r>
    </w:p>
    <w:p>
      <w:pPr>
        <w:pStyle w:val="BodyText"/>
      </w:pPr>
      <w:r>
        <w:rPr/>
        <w:t>«Run»(Запуск)  в  навигационной  панели.  Когда  на  экране  прибора  отображается </w:t>
      </w:r>
      <w:r>
        <w:rPr>
          <w:spacing w:val="45"/>
        </w:rPr>
        <w:t> </w:t>
      </w:r>
      <w:r>
        <w:rPr/>
        <w:t>окно</w:t>
      </w:r>
    </w:p>
    <w:p>
      <w:pPr>
        <w:pStyle w:val="BodyText"/>
        <w:ind w:right="229"/>
      </w:pPr>
      <w:r>
        <w:rPr/>
        <w:t>«MainMenu» (главное меню), можно извлечь реакционную планшету или стрипы из прибора и передать данные эксперимента на компьютер для последующего анализа.</w:t>
      </w:r>
    </w:p>
    <w:p>
      <w:pPr>
        <w:pStyle w:val="BodyText"/>
        <w:spacing w:before="1"/>
        <w:ind w:right="227" w:firstLine="566"/>
        <w:jc w:val="both"/>
      </w:pPr>
      <w:r>
        <w:rPr/>
        <w:t>Сразу после пробега, программное обеспечение StepOne автоматически анализирует данные с помощью настроек анализа, выставленных по умолчанию, затем демонстрирует окно графика амплификации на компьютере. Для просмотра графика амплификации выбирают Analysis(анализ) →Amplification Plot (график амплификации). На рисунке 2 приведен график амплификации ДНК конины или говядины.</w:t>
      </w:r>
    </w:p>
    <w:p>
      <w:pPr>
        <w:pStyle w:val="BodyText"/>
        <w:spacing w:before="2"/>
        <w:ind w:left="0"/>
        <w:rPr>
          <w:sz w:val="21"/>
        </w:rPr>
      </w:pPr>
      <w:r>
        <w:rPr/>
        <w:pict>
          <v:group style="position:absolute;margin-left:127.459999pt;margin-top:14.203583pt;width:431.15pt;height:163.75pt;mso-position-horizontal-relative:page;mso-position-vertical-relative:paragraph;z-index:-808;mso-wrap-distance-left:0;mso-wrap-distance-right:0" coordorigin="2549,284" coordsize="8623,3275">
            <v:rect style="position:absolute;left:2549;top:284;width:10;height:10" filled="true" fillcolor="#000000" stroked="false">
              <v:fill type="solid"/>
            </v:rect>
            <v:rect style="position:absolute;left:2549;top:284;width:10;height:10" filled="true" fillcolor="#000000" stroked="false">
              <v:fill type="solid"/>
            </v:rect>
            <v:line style="position:absolute" from="2559,289" to="6988,289" stroked="true" strokeweight=".48004pt" strokecolor="#000000">
              <v:stroke dashstyle="solid"/>
            </v:line>
            <v:rect style="position:absolute;left:6987;top:284;width:10;height:10" filled="true" fillcolor="#000000" stroked="false">
              <v:fill type="solid"/>
            </v:rect>
            <v:line style="position:absolute" from="6997,289" to="11162,289" stroked="true" strokeweight=".48004pt" strokecolor="#000000">
              <v:stroke dashstyle="solid"/>
            </v:line>
            <v:rect style="position:absolute;left:11162;top:284;width:10;height:10" filled="true" fillcolor="#000000" stroked="false">
              <v:fill type="solid"/>
            </v:rect>
            <v:rect style="position:absolute;left:11162;top:284;width:10;height:10" filled="true" fillcolor="#000000" stroked="false">
              <v:fill type="solid"/>
            </v:rect>
            <v:line style="position:absolute" from="2554,294" to="2554,3558" stroked="true" strokeweight=".48pt" strokecolor="#000000">
              <v:stroke dashstyle="solid"/>
            </v:line>
            <v:line style="position:absolute" from="2559,3553" to="6988,3553" stroked="true" strokeweight=".48004pt" strokecolor="#000000">
              <v:stroke dashstyle="solid"/>
            </v:line>
            <v:line style="position:absolute" from="6993,294" to="6993,3558" stroked="true" strokeweight=".48001pt" strokecolor="#000000">
              <v:stroke dashstyle="solid"/>
            </v:line>
            <v:line style="position:absolute" from="6997,3553" to="11162,3553" stroked="true" strokeweight=".48004pt" strokecolor="#000000">
              <v:stroke dashstyle="solid"/>
            </v:line>
            <v:line style="position:absolute" from="11167,294" to="11167,3558" stroked="true" strokeweight=".47998pt" strokecolor="#000000">
              <v:stroke dashstyle="solid"/>
            </v:line>
            <v:shape style="position:absolute;left:2690;top:293;width:4322;height:3254" type="#_x0000_t75" stroked="false">
              <v:imagedata r:id="rId19" o:title=""/>
            </v:shape>
            <v:shape style="position:absolute;left:7128;top:293;width:4040;height:3229" type="#_x0000_t75" stroked="false">
              <v:imagedata r:id="rId20" o:title=""/>
            </v:shape>
            <w10:wrap type="topAndBottom"/>
          </v:group>
        </w:pict>
      </w:r>
    </w:p>
    <w:p>
      <w:pPr>
        <w:pStyle w:val="BodyText"/>
        <w:tabs>
          <w:tab w:pos="8075" w:val="left" w:leader="none"/>
        </w:tabs>
        <w:spacing w:line="234" w:lineRule="exact"/>
        <w:ind w:left="2909"/>
      </w:pPr>
      <w:r>
        <w:rPr/>
        <w:t>а)</w:t>
        <w:tab/>
        <w:t>б)</w:t>
      </w:r>
    </w:p>
    <w:p>
      <w:pPr>
        <w:pStyle w:val="BodyText"/>
        <w:ind w:left="0"/>
      </w:pPr>
    </w:p>
    <w:p>
      <w:pPr>
        <w:pStyle w:val="BodyText"/>
        <w:ind w:left="2551"/>
      </w:pPr>
      <w:r>
        <w:rPr/>
        <w:t>Рисунок 2 – График амплификации ДНК а) конины; б) говядины</w:t>
      </w:r>
    </w:p>
    <w:p>
      <w:pPr>
        <w:spacing w:after="0"/>
        <w:sectPr>
          <w:pgSz w:w="11910" w:h="16840"/>
          <w:pgMar w:header="0" w:footer="1512" w:top="1040" w:bottom="1700" w:left="860" w:right="620"/>
        </w:sectPr>
      </w:pPr>
    </w:p>
    <w:p>
      <w:pPr>
        <w:pStyle w:val="Heading1"/>
        <w:numPr>
          <w:ilvl w:val="0"/>
          <w:numId w:val="2"/>
        </w:numPr>
        <w:tabs>
          <w:tab w:pos="1023" w:val="left" w:leader="none"/>
        </w:tabs>
        <w:spacing w:line="240" w:lineRule="auto" w:before="71" w:after="0"/>
        <w:ind w:left="1022" w:right="0" w:hanging="180"/>
        <w:jc w:val="left"/>
      </w:pPr>
      <w:r>
        <w:rPr/>
        <w:t>Заключение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29" w:firstLine="707"/>
        <w:jc w:val="both"/>
      </w:pPr>
      <w:r>
        <w:rPr/>
        <w:t>Метод, основанный на ПЦР в реальном времени, позволяет проводить идентификацию видоспецифической ДНК конины и говядины в составе сырья на всех этапах его переработки, транспортировки, хранения, а также полуфабрикатов и готовых мясных продуктов.</w:t>
      </w:r>
    </w:p>
    <w:p>
      <w:pPr>
        <w:pStyle w:val="BodyText"/>
        <w:ind w:right="222" w:firstLine="707"/>
        <w:jc w:val="both"/>
      </w:pPr>
      <w:r>
        <w:rPr/>
        <w:t>Преимуществом метода ПЦР в реальном времени является то, что идентификация проводится по видоспецифическому фрагменту ДНК и в короткие сроки времени. ДНК является наиболее устойчивым к внешним воздействиям биополимером. Полностью разрушить ДНК в процессе технологической обработки невозможно, что делает ДНК- метод специфичным и эффективным. Кроме того, метод является высокочувствительным и позволяет достоверно обнаружить необходимый биологический объект при наличии 20 копий видоспецифичной ДНК в</w:t>
      </w:r>
      <w:r>
        <w:rPr>
          <w:spacing w:val="-2"/>
        </w:rPr>
        <w:t> </w:t>
      </w:r>
      <w:r>
        <w:rPr/>
        <w:t>реакции.</w:t>
      </w:r>
    </w:p>
    <w:p>
      <w:pPr>
        <w:pStyle w:val="BodyText"/>
        <w:ind w:right="223" w:firstLine="707"/>
        <w:jc w:val="both"/>
      </w:pPr>
      <w:r>
        <w:rPr/>
        <w:t>Анализ практических возможностей применения метода идентификации на основе РТ-ПЦР показал необходимость и целесообразность его использования для определения видовой принадлежности мяса и мясных ингредиентов.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1142" w:val="left" w:leader="none"/>
        </w:tabs>
        <w:spacing w:line="240" w:lineRule="auto" w:before="223" w:after="0"/>
        <w:ind w:left="1142" w:right="0" w:hanging="300"/>
        <w:jc w:val="left"/>
      </w:pPr>
      <w:r>
        <w:rPr/>
        <w:t>Литература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836" w:val="left" w:leader="none"/>
        </w:tabs>
        <w:spacing w:line="240" w:lineRule="auto" w:before="0" w:after="0"/>
        <w:ind w:left="842" w:right="230" w:firstLine="720"/>
        <w:jc w:val="both"/>
        <w:rPr>
          <w:sz w:val="24"/>
        </w:rPr>
      </w:pPr>
      <w:r>
        <w:rPr>
          <w:sz w:val="24"/>
        </w:rPr>
        <w:t>Козлова Т.А. К вопросу безопасности и контроля качества мясного сырья и мясных продуктов / Орел, РФ, 2012.- 6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1"/>
          <w:numId w:val="2"/>
        </w:numPr>
        <w:tabs>
          <w:tab w:pos="1836" w:val="left" w:leader="none"/>
        </w:tabs>
        <w:spacing w:line="240" w:lineRule="auto" w:before="0" w:after="0"/>
        <w:ind w:left="842" w:right="231" w:firstLine="720"/>
        <w:jc w:val="both"/>
        <w:rPr>
          <w:sz w:val="24"/>
        </w:rPr>
      </w:pPr>
      <w:r>
        <w:rPr>
          <w:sz w:val="24"/>
        </w:rPr>
        <w:t>Лунин В.Г., Тотолян А.А. Организация работы лаборатории, использующей для проведения метод полимеразной цепной реакции с детекцией в режиме реального</w:t>
      </w:r>
      <w:r>
        <w:rPr>
          <w:spacing w:val="-30"/>
          <w:sz w:val="24"/>
        </w:rPr>
        <w:t> </w:t>
      </w:r>
      <w:r>
        <w:rPr>
          <w:sz w:val="24"/>
        </w:rPr>
        <w:t>времени</w:t>
      </w:r>
    </w:p>
    <w:p>
      <w:pPr>
        <w:pStyle w:val="BodyText"/>
      </w:pPr>
      <w:r>
        <w:rPr/>
        <w:t>// Методические рекомендации. Тверь: ООО Изд-во «Триада», 2008. – 24 с.</w:t>
      </w:r>
    </w:p>
    <w:p>
      <w:pPr>
        <w:pStyle w:val="ListParagraph"/>
        <w:numPr>
          <w:ilvl w:val="1"/>
          <w:numId w:val="2"/>
        </w:numPr>
        <w:tabs>
          <w:tab w:pos="1836" w:val="left" w:leader="none"/>
        </w:tabs>
        <w:spacing w:line="240" w:lineRule="auto" w:before="0" w:after="0"/>
        <w:ind w:left="842" w:right="225" w:firstLine="720"/>
        <w:jc w:val="both"/>
        <w:rPr>
          <w:sz w:val="24"/>
        </w:rPr>
      </w:pPr>
      <w:r>
        <w:rPr>
          <w:sz w:val="24"/>
        </w:rPr>
        <w:t>Боровков М.Ф., Швец О.М., Кириллов А.К. Определение видовой принадлежности мяса животных // Методическое пособие. М.: А.М. Багро, 1998.-34</w:t>
      </w:r>
      <w:r>
        <w:rPr>
          <w:spacing w:val="-16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1"/>
          <w:numId w:val="2"/>
        </w:numPr>
        <w:tabs>
          <w:tab w:pos="1836" w:val="left" w:leader="none"/>
        </w:tabs>
        <w:spacing w:line="240" w:lineRule="auto" w:before="1" w:after="0"/>
        <w:ind w:left="842" w:right="222" w:firstLine="720"/>
        <w:jc w:val="both"/>
        <w:rPr>
          <w:sz w:val="24"/>
        </w:rPr>
      </w:pPr>
      <w:r>
        <w:rPr>
          <w:sz w:val="24"/>
        </w:rPr>
        <w:t>Методические рекомендации МР 4.2.0019 -1 «Идентификация сырьевого состава мясной продукции», Москва,</w:t>
      </w:r>
      <w:r>
        <w:rPr>
          <w:spacing w:val="-1"/>
          <w:sz w:val="24"/>
        </w:rPr>
        <w:t> </w:t>
      </w:r>
      <w:r>
        <w:rPr>
          <w:sz w:val="24"/>
        </w:rPr>
        <w:t>2011.</w:t>
      </w:r>
    </w:p>
    <w:p>
      <w:pPr>
        <w:pStyle w:val="ListParagraph"/>
        <w:numPr>
          <w:ilvl w:val="1"/>
          <w:numId w:val="2"/>
        </w:numPr>
        <w:tabs>
          <w:tab w:pos="1836" w:val="left" w:leader="none"/>
        </w:tabs>
        <w:spacing w:line="240" w:lineRule="auto" w:before="0" w:after="0"/>
        <w:ind w:left="842" w:right="219" w:firstLine="720"/>
        <w:jc w:val="both"/>
        <w:rPr>
          <w:sz w:val="24"/>
        </w:rPr>
      </w:pPr>
      <w:r>
        <w:rPr>
          <w:sz w:val="24"/>
        </w:rPr>
        <w:t>Системы проведения ПЦР в реальном времени. Руководство к работе на приборе Applied Biosystems StepOne и</w:t>
      </w:r>
      <w:r>
        <w:rPr>
          <w:spacing w:val="-1"/>
          <w:sz w:val="24"/>
        </w:rPr>
        <w:t> </w:t>
      </w:r>
      <w:r>
        <w:rPr>
          <w:sz w:val="24"/>
        </w:rPr>
        <w:t>StepOnePlus.</w:t>
      </w:r>
    </w:p>
    <w:p>
      <w:pPr>
        <w:pStyle w:val="ListParagraph"/>
        <w:numPr>
          <w:ilvl w:val="1"/>
          <w:numId w:val="2"/>
        </w:numPr>
        <w:tabs>
          <w:tab w:pos="1836" w:val="left" w:leader="none"/>
        </w:tabs>
        <w:spacing w:line="240" w:lineRule="auto" w:before="0" w:after="0"/>
        <w:ind w:left="842" w:right="225" w:firstLine="720"/>
        <w:jc w:val="both"/>
        <w:rPr>
          <w:sz w:val="24"/>
        </w:rPr>
      </w:pPr>
      <w:r>
        <w:rPr>
          <w:sz w:val="24"/>
        </w:rPr>
        <w:t>Фомина, Т.А., Разработка метода идентификации видовой принадлежности мясных и растительных ингридиентов на основе полимеразной цепной реакции в режиме реального времени // дисс. на соискание ученой степени кандидата технических наук. – М.:</w:t>
      </w:r>
      <w:r>
        <w:rPr>
          <w:spacing w:val="-1"/>
          <w:sz w:val="24"/>
        </w:rPr>
        <w:t> </w:t>
      </w:r>
      <w:r>
        <w:rPr>
          <w:sz w:val="24"/>
        </w:rPr>
        <w:t>2012.</w:t>
      </w:r>
    </w:p>
    <w:sectPr>
      <w:pgSz w:w="11910" w:h="16840"/>
      <w:pgMar w:header="0" w:footer="1512" w:top="1040" w:bottom="1700" w:left="8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510010pt;margin-top:755.338074pt;width:15.05pt;height:14.25pt;mso-position-horizontal-relative:page;mso-position-vertical-relative:page;z-index:-13648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"/>
      <w:lvlJc w:val="left"/>
      <w:pPr>
        <w:ind w:left="1022" w:hanging="180"/>
        <w:jc w:val="left"/>
      </w:pPr>
      <w:rPr>
        <w:rFonts w:hint="default"/>
        <w:b/>
        <w:bCs/>
        <w:spacing w:val="-3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842" w:hanging="274"/>
        <w:jc w:val="left"/>
      </w:pPr>
      <w:rPr>
        <w:rFonts w:hint="default" w:ascii="Times New Roman" w:hAnsi="Times New Roman" w:eastAsia="Times New Roman" w:cs="Times New Roman"/>
        <w:spacing w:val="-27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65" w:hanging="27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10" w:hanging="27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55" w:hanging="27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200" w:hanging="27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245" w:hanging="27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290" w:hanging="27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336" w:hanging="274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22" w:hanging="180"/>
        <w:jc w:val="right"/>
      </w:pPr>
      <w:rPr>
        <w:rFonts w:hint="default"/>
        <w:spacing w:val="-1"/>
        <w:w w:val="10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960" w:hanging="1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901" w:hanging="1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41" w:hanging="1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782" w:hanging="1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723" w:hanging="1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663" w:hanging="1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04" w:hanging="1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45" w:hanging="180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842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0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022" w:hanging="180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mailto:kaznivialmaty@mail.ru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yperlink" Target="http://ru.wikipedia.org/wiki/%D0%90%D0%BD%D0%B3%D0%BB%D0%B8%D0%B9%D1%81%D0%BA%D0%B8%D0%B9_%D1%8F%D0%B7%D1%8B%D0%BA" TargetMode="External"/><Relationship Id="rId15" Type="http://schemas.openxmlformats.org/officeDocument/2006/relationships/hyperlink" Target="http://ncbi.nlm.nih.gov/" TargetMode="External"/><Relationship Id="rId16" Type="http://schemas.openxmlformats.org/officeDocument/2006/relationships/hyperlink" Target="http://www.ncbi.nlm.nih.gov/tools/primer-blast" TargetMode="External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2018-12-27T15:38:13Z</dcterms:created>
  <dcterms:modified xsi:type="dcterms:W3CDTF">2018-12-27T15:38:13Z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2018-12-27T00:00:00Z</vt:filetime>
  </property>
</Properties>
</file>