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 w:after="4"/>
        <w:ind w:left="867" w:right="8451"/>
        <w:jc w:val="center"/>
      </w:pPr>
      <w:r>
        <w:rPr>
          <w:color w:val="0000FF"/>
        </w:rPr>
        <w:t>1 9 0 5</w:t>
      </w:r>
    </w:p>
    <w:p>
      <w:pPr>
        <w:pStyle w:val="BodyText"/>
        <w:ind w:left="780"/>
        <w:rPr>
          <w:sz w:val="20"/>
        </w:rPr>
      </w:pPr>
      <w:r>
        <w:rPr>
          <w:sz w:val="20"/>
        </w:rPr>
        <w:drawing>
          <wp:inline distT="0" distB="0" distL="0" distR="0">
            <wp:extent cx="980219" cy="83696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219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902" w:right="8451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КазНИВИ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211"/>
        <w:ind w:left="799" w:right="148"/>
        <w:jc w:val="center"/>
      </w:pPr>
      <w:r>
        <w:rPr/>
        <w:t>Министерство сельского хозяйства Республики Казахстан</w:t>
      </w:r>
    </w:p>
    <w:p>
      <w:pPr>
        <w:pStyle w:val="BodyText"/>
        <w:spacing w:before="120"/>
        <w:ind w:left="798" w:right="148"/>
        <w:jc w:val="center"/>
      </w:pPr>
      <w:r>
        <w:rPr>
          <w:spacing w:val="-3"/>
        </w:rPr>
        <w:t>ТОО</w:t>
      </w:r>
      <w:r>
        <w:rPr>
          <w:spacing w:val="-16"/>
        </w:rPr>
        <w:t> </w:t>
      </w:r>
      <w:r>
        <w:rPr/>
        <w:t>«Казахский</w:t>
      </w:r>
      <w:r>
        <w:rPr>
          <w:spacing w:val="-16"/>
        </w:rPr>
        <w:t> </w:t>
      </w:r>
      <w:r>
        <w:rPr/>
        <w:t>научно-исследовательский</w:t>
      </w:r>
      <w:r>
        <w:rPr>
          <w:spacing w:val="-16"/>
        </w:rPr>
        <w:t> </w:t>
      </w:r>
      <w:r>
        <w:rPr/>
        <w:t>ветеринарный</w:t>
      </w:r>
      <w:r>
        <w:rPr>
          <w:spacing w:val="-18"/>
        </w:rPr>
        <w:t> </w:t>
      </w:r>
      <w:r>
        <w:rPr/>
        <w:t>институт»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00"/>
        <w:ind w:right="148"/>
        <w:jc w:val="center"/>
      </w:pPr>
      <w:r>
        <w:rPr/>
        <w:t>РЕКОМЕНДАЦИИ ПО ПОДДЕРЖАНИЮ БЛАГОПОЛУЧИЯ ПО</w:t>
      </w:r>
      <w:r>
        <w:rPr>
          <w:spacing w:val="-16"/>
        </w:rPr>
        <w:t> </w:t>
      </w:r>
      <w:r>
        <w:rPr/>
        <w:t>БЛЮТАНГУ И БОЛЕЗНИ ШМАЛЛЕНБЕРГА НА ТЕРРИТОРИИ</w:t>
      </w:r>
      <w:r>
        <w:rPr>
          <w:spacing w:val="-3"/>
        </w:rPr>
        <w:t> </w:t>
      </w:r>
      <w:r>
        <w:rPr/>
        <w:t>РЕСПУБЛИКИ</w:t>
      </w:r>
    </w:p>
    <w:p>
      <w:pPr>
        <w:spacing w:line="321" w:lineRule="exact" w:before="0"/>
        <w:ind w:left="234" w:right="148" w:firstLine="0"/>
        <w:jc w:val="center"/>
        <w:rPr>
          <w:b/>
          <w:sz w:val="28"/>
        </w:rPr>
      </w:pPr>
      <w:r>
        <w:rPr>
          <w:b/>
          <w:sz w:val="28"/>
        </w:rPr>
        <w:t>КАЗАХСТАН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1282064</wp:posOffset>
            </wp:positionH>
            <wp:positionV relativeFrom="paragraph">
              <wp:posOffset>147117</wp:posOffset>
            </wp:positionV>
            <wp:extent cx="5278921" cy="3584448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921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6"/>
        <w:ind w:left="0"/>
        <w:rPr>
          <w:b/>
          <w:sz w:val="26"/>
        </w:rPr>
      </w:pPr>
    </w:p>
    <w:p>
      <w:pPr>
        <w:spacing w:before="0"/>
        <w:ind w:left="240" w:right="148" w:firstLine="0"/>
        <w:jc w:val="center"/>
        <w:rPr>
          <w:b/>
          <w:sz w:val="28"/>
        </w:rPr>
      </w:pPr>
      <w:r>
        <w:rPr>
          <w:b/>
          <w:sz w:val="28"/>
        </w:rPr>
        <w:t>Алматы  2015 г.</w:t>
      </w:r>
    </w:p>
    <w:p>
      <w:pPr>
        <w:spacing w:after="0"/>
        <w:jc w:val="center"/>
        <w:rPr>
          <w:sz w:val="28"/>
        </w:rPr>
        <w:sectPr>
          <w:footerReference w:type="default" r:id="rId5"/>
          <w:type w:val="continuous"/>
          <w:pgSz w:w="11910" w:h="16840"/>
          <w:pgMar w:footer="1038" w:top="1040" w:bottom="1220" w:left="780" w:right="440"/>
          <w:pgNumType w:start="1"/>
        </w:sectPr>
      </w:pPr>
    </w:p>
    <w:p>
      <w:pPr>
        <w:pStyle w:val="BodyText"/>
        <w:spacing w:before="67"/>
        <w:ind w:left="780"/>
      </w:pPr>
      <w:r>
        <w:rPr/>
        <w:t>УДК 619:616.85</w:t>
      </w:r>
    </w:p>
    <w:p>
      <w:pPr>
        <w:pStyle w:val="BodyText"/>
        <w:spacing w:before="7"/>
        <w:ind w:left="0"/>
      </w:pPr>
    </w:p>
    <w:p>
      <w:pPr>
        <w:pStyle w:val="Heading1"/>
        <w:ind w:left="1987" w:right="872" w:hanging="1013"/>
      </w:pPr>
      <w:r>
        <w:rPr/>
        <w:t>Рекомендации по поддержанию благополучия по блютангу и болезни Шмалленберга на территории Республики Казахстан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BodyText"/>
        <w:ind w:right="123" w:firstLine="566"/>
        <w:jc w:val="both"/>
      </w:pPr>
      <w:r>
        <w:rPr/>
        <w:t>Рекомендации предназначены для руководства государственными и местными ветеринарными специалистами при планировании и проведении противоэпизоотических мероприятий при блютанге и болезни Шмалленберга на территории Республики Казахстан.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42" w:lineRule="auto"/>
        <w:ind w:right="1389" w:firstLine="566"/>
      </w:pPr>
      <w:r>
        <w:rPr/>
        <w:t>Авторы: Султанов А.А., Шманов Г.С., Кутумбетов Л.Б., Жусупов Г.К., Мырзахметова Б.Ш.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left="780"/>
      </w:pPr>
      <w:r>
        <w:rPr/>
        <w:t>Рецензент: доктор ветеринарных наук, профессор Абуталип А.А.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44"/>
        </w:rPr>
      </w:pPr>
    </w:p>
    <w:p>
      <w:pPr>
        <w:pStyle w:val="BodyText"/>
        <w:spacing w:line="331" w:lineRule="auto"/>
        <w:ind w:right="1460" w:firstLine="708"/>
      </w:pPr>
      <w:r>
        <w:rPr/>
        <w:t>Адрес: 050016, г. Алматы, пр. Райымбека, 223, ТОО «КазНИВИ», тел. 8 (7272) 33-72-71; e-mail: </w:t>
      </w:r>
      <w:hyperlink r:id="rId8">
        <w:r>
          <w:rPr>
            <w:color w:val="0000FF"/>
            <w:u w:val="single" w:color="0000FF"/>
          </w:rPr>
          <w:t>kaznivialmaty@mail.ru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9"/>
        <w:ind w:right="129" w:firstLine="742"/>
        <w:jc w:val="both"/>
      </w:pPr>
      <w:r>
        <w:rPr>
          <w:color w:val="FF0000"/>
        </w:rPr>
        <w:t>Рекомендации утверждены на заседании Ученого совета ТОО «Казахский научно-исследовательский ветеринарный институт» (протокол № 8 от 21 октября 2015 года).</w:t>
      </w:r>
    </w:p>
    <w:p>
      <w:pPr>
        <w:pStyle w:val="BodyText"/>
        <w:ind w:left="0"/>
      </w:pPr>
    </w:p>
    <w:p>
      <w:pPr>
        <w:pStyle w:val="BodyText"/>
        <w:spacing w:before="1"/>
        <w:ind w:right="120" w:firstLine="742"/>
        <w:jc w:val="both"/>
      </w:pPr>
      <w:r>
        <w:rPr>
          <w:color w:val="FF0000"/>
        </w:rPr>
        <w:t>В рамках научно-технической программы «Научное обеспечение ветеринарного благополучия» по бюджетной программе  212  «Научные исследования и мероприятия в области агропромышленного комплекса и природопользования».</w:t>
      </w:r>
    </w:p>
    <w:p>
      <w:pPr>
        <w:spacing w:after="0"/>
        <w:jc w:val="both"/>
        <w:sectPr>
          <w:pgSz w:w="11910" w:h="16840"/>
          <w:pgMar w:header="0" w:footer="1038" w:top="1040" w:bottom="1240" w:left="780" w:right="440"/>
        </w:sectPr>
      </w:pPr>
    </w:p>
    <w:p>
      <w:pPr>
        <w:pStyle w:val="BodyText"/>
        <w:spacing w:before="67"/>
        <w:ind w:left="99" w:right="148"/>
        <w:jc w:val="center"/>
      </w:pPr>
      <w:r>
        <w:rPr/>
        <w:t>СОДЕРЖАНИЕ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before="89"/>
        <w:ind w:left="0" w:right="232"/>
        <w:jc w:val="right"/>
      </w:pPr>
      <w:r>
        <w:rPr/>
        <w:t>Стр.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029" w:val="left" w:leader="none"/>
              <w:tab w:pos="1031" w:val="left" w:leader="none"/>
              <w:tab w:pos="10261" w:val="right" w:leader="none"/>
            </w:tabs>
            <w:spacing w:line="240" w:lineRule="auto" w:before="321" w:after="0"/>
            <w:ind w:left="1030" w:right="0" w:hanging="586"/>
            <w:jc w:val="left"/>
          </w:pPr>
          <w:r>
            <w:rPr/>
            <w:t>Введение</w:t>
            <w:tab/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1029" w:val="left" w:leader="none"/>
              <w:tab w:pos="1031" w:val="left" w:leader="none"/>
            </w:tabs>
            <w:spacing w:line="240" w:lineRule="auto" w:before="322" w:after="0"/>
            <w:ind w:left="1030" w:right="0" w:hanging="586"/>
            <w:jc w:val="left"/>
          </w:pPr>
          <w:r>
            <w:rPr/>
            <w:t>Меры безопасности для предотвращения блютанга и</w:t>
          </w:r>
          <w:r>
            <w:rPr>
              <w:spacing w:val="-3"/>
            </w:rPr>
            <w:t> </w:t>
          </w:r>
          <w:r>
            <w:rPr/>
            <w:t>болезни</w:t>
          </w:r>
        </w:p>
        <w:p>
          <w:pPr>
            <w:pStyle w:val="TOC2"/>
            <w:tabs>
              <w:tab w:pos="10261" w:val="right" w:leader="none"/>
            </w:tabs>
            <w:spacing w:before="2"/>
          </w:pPr>
          <w:hyperlink w:history="true" w:anchor="_TOC_250000">
            <w:r>
              <w:rPr/>
              <w:t>Шмалленберга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29" w:val="left" w:leader="none"/>
              <w:tab w:pos="1031" w:val="left" w:leader="none"/>
              <w:tab w:pos="10261" w:val="right" w:leader="none"/>
            </w:tabs>
            <w:spacing w:line="240" w:lineRule="auto" w:before="321" w:after="0"/>
            <w:ind w:left="1030" w:right="0" w:hanging="586"/>
            <w:jc w:val="left"/>
          </w:pPr>
          <w:r>
            <w:rPr>
              <w:color w:val="212121"/>
            </w:rPr>
            <w:t>Методы лабораторной диагностики блютанга и</w:t>
          </w:r>
          <w:r>
            <w:rPr>
              <w:color w:val="212121"/>
              <w:spacing w:val="-13"/>
            </w:rPr>
            <w:t> </w:t>
          </w:r>
          <w:r>
            <w:rPr>
              <w:color w:val="212121"/>
            </w:rPr>
            <w:t>болезни Шмалленберга</w:t>
            <w:tab/>
          </w:r>
          <w:r>
            <w:rPr/>
            <w:t>9</w:t>
          </w:r>
        </w:p>
        <w:p>
          <w:pPr>
            <w:pStyle w:val="TOC1"/>
            <w:numPr>
              <w:ilvl w:val="0"/>
              <w:numId w:val="1"/>
            </w:numPr>
            <w:tabs>
              <w:tab w:pos="1029" w:val="left" w:leader="none"/>
              <w:tab w:pos="1031" w:val="left" w:leader="none"/>
              <w:tab w:pos="10334" w:val="right" w:leader="none"/>
            </w:tabs>
            <w:spacing w:line="240" w:lineRule="auto" w:before="322" w:after="0"/>
            <w:ind w:left="1030" w:right="0" w:hanging="586"/>
            <w:jc w:val="left"/>
          </w:pPr>
          <w:r>
            <w:rPr/>
            <w:t>Меры профилактики и борьбы с </w:t>
          </w:r>
          <w:r>
            <w:rPr>
              <w:color w:val="212121"/>
            </w:rPr>
            <w:t>блютангом и</w:t>
          </w:r>
          <w:r>
            <w:rPr>
              <w:color w:val="212121"/>
              <w:spacing w:val="-8"/>
            </w:rPr>
            <w:t> </w:t>
          </w:r>
          <w:r>
            <w:rPr>
              <w:color w:val="212121"/>
            </w:rPr>
            <w:t>болезнью</w:t>
          </w:r>
          <w:r>
            <w:rPr>
              <w:color w:val="212121"/>
              <w:spacing w:val="-2"/>
            </w:rPr>
            <w:t> </w:t>
          </w:r>
          <w:r>
            <w:rPr>
              <w:color w:val="212121"/>
            </w:rPr>
            <w:t>Шмалленберга</w:t>
            <w:tab/>
          </w:r>
          <w:r>
            <w:rPr/>
            <w:t>10</w:t>
          </w:r>
        </w:p>
        <w:p>
          <w:pPr>
            <w:pStyle w:val="TOC1"/>
            <w:numPr>
              <w:ilvl w:val="0"/>
              <w:numId w:val="1"/>
            </w:numPr>
            <w:tabs>
              <w:tab w:pos="1029" w:val="left" w:leader="none"/>
              <w:tab w:pos="1031" w:val="left" w:leader="none"/>
            </w:tabs>
            <w:spacing w:line="322" w:lineRule="exact" w:before="323" w:after="0"/>
            <w:ind w:left="1030" w:right="0" w:hanging="586"/>
            <w:jc w:val="left"/>
          </w:pPr>
          <w:r>
            <w:rPr/>
            <w:t>Мероприятия при подозрении на блютанг и болезнь Шмалленберга</w:t>
          </w:r>
          <w:r>
            <w:rPr>
              <w:spacing w:val="-22"/>
            </w:rPr>
            <w:t> </w:t>
          </w:r>
          <w:r>
            <w:rPr/>
            <w:t>и</w:t>
          </w:r>
        </w:p>
        <w:p>
          <w:pPr>
            <w:pStyle w:val="TOC2"/>
            <w:tabs>
              <w:tab w:pos="10334" w:val="right" w:leader="none"/>
            </w:tabs>
          </w:pPr>
          <w:r>
            <w:rPr/>
            <w:t>их возникновении на территории</w:t>
          </w:r>
          <w:r>
            <w:rPr>
              <w:spacing w:val="-2"/>
            </w:rPr>
            <w:t> </w:t>
          </w:r>
          <w:r>
            <w:rPr/>
            <w:t>Республики Казахстан</w:t>
            <w:tab/>
            <w:t>11</w:t>
          </w:r>
        </w:p>
        <w:p>
          <w:pPr>
            <w:pStyle w:val="TOC1"/>
            <w:numPr>
              <w:ilvl w:val="0"/>
              <w:numId w:val="1"/>
            </w:numPr>
            <w:tabs>
              <w:tab w:pos="1029" w:val="left" w:leader="none"/>
              <w:tab w:pos="1031" w:val="left" w:leader="none"/>
            </w:tabs>
            <w:spacing w:line="322" w:lineRule="exact" w:before="343" w:after="0"/>
            <w:ind w:left="1030" w:right="0" w:hanging="586"/>
            <w:jc w:val="left"/>
          </w:pPr>
          <w:r>
            <w:rPr/>
            <w:t>Мероприятия по ликвидации блютанга и болезни Шмалленберга</w:t>
          </w:r>
          <w:r>
            <w:rPr>
              <w:spacing w:val="-4"/>
            </w:rPr>
            <w:t> </w:t>
          </w:r>
          <w:r>
            <w:rPr/>
            <w:t>в</w:t>
          </w:r>
        </w:p>
        <w:p>
          <w:pPr>
            <w:pStyle w:val="TOC2"/>
            <w:tabs>
              <w:tab w:pos="10334" w:val="right" w:leader="none"/>
            </w:tabs>
          </w:pPr>
          <w:r>
            <w:rPr/>
            <w:t>неблагополучном</w:t>
          </w:r>
          <w:r>
            <w:rPr>
              <w:spacing w:val="-1"/>
            </w:rPr>
            <w:t> </w:t>
          </w:r>
          <w:r>
            <w:rPr/>
            <w:t>пункте</w:t>
            <w:tab/>
            <w:t>12</w:t>
          </w:r>
        </w:p>
      </w:sdtContent>
    </w:sdt>
    <w:p>
      <w:pPr>
        <w:spacing w:after="0"/>
        <w:sectPr>
          <w:pgSz w:w="11910" w:h="16840"/>
          <w:pgMar w:header="0" w:footer="1038" w:top="1040" w:bottom="1240" w:left="780" w:right="440"/>
        </w:sectPr>
      </w:pPr>
    </w:p>
    <w:p>
      <w:pPr>
        <w:pStyle w:val="Heading1"/>
        <w:spacing w:before="72"/>
        <w:ind w:left="5154"/>
      </w:pPr>
      <w:r>
        <w:rPr/>
        <w:t>Введение</w:t>
      </w:r>
    </w:p>
    <w:p>
      <w:pPr>
        <w:pStyle w:val="BodyText"/>
        <w:spacing w:before="10"/>
        <w:ind w:left="0"/>
        <w:rPr>
          <w:b/>
          <w:sz w:val="31"/>
        </w:rPr>
      </w:pPr>
    </w:p>
    <w:p>
      <w:pPr>
        <w:pStyle w:val="BodyText"/>
        <w:spacing w:line="276" w:lineRule="auto" w:before="1"/>
        <w:ind w:right="119" w:firstLine="566"/>
        <w:jc w:val="both"/>
      </w:pPr>
      <w:r>
        <w:rPr/>
        <w:t>В последнее десятилетие из зарубежных стран, включая страны ЕС, в Казахстан активно ввозится племенной генетический материал, включая высокопродуктивных животных, эмбрионы, замороженное семя. В связи с этим возрастает опасность проникновения блютанга и болезни Шмалленберга в нашу страну.</w:t>
      </w:r>
    </w:p>
    <w:p>
      <w:pPr>
        <w:pStyle w:val="BodyText"/>
        <w:spacing w:line="276" w:lineRule="auto"/>
        <w:ind w:right="129" w:firstLine="566"/>
        <w:jc w:val="both"/>
      </w:pPr>
      <w:r>
        <w:rPr/>
        <w:t>В целях выявления территорий с высоким риском заноса и появления таких экзотических болезней, как блютанг и болезнь Шмалленберг, был проведен сбор данных о скоте, завозимом из зарубежных стран и сведений об эпизоотической ситуации территорий этих государств по исследуемым нозологическим единицам.</w:t>
      </w:r>
    </w:p>
    <w:p>
      <w:pPr>
        <w:pStyle w:val="BodyText"/>
        <w:spacing w:line="276" w:lineRule="auto"/>
        <w:ind w:right="128" w:firstLine="566"/>
        <w:jc w:val="both"/>
      </w:pPr>
      <w:r>
        <w:rPr/>
        <w:t>Завоз импортного скота во все области республики осуществляется с 2010 года в рамках государственных программ: «Развитие экспортного потенциала мяса крупного рогатого скота Республики Казахстан»,</w:t>
      </w:r>
      <w:r>
        <w:rPr>
          <w:spacing w:val="-4"/>
        </w:rPr>
        <w:t> </w:t>
      </w:r>
      <w:r>
        <w:rPr/>
        <w:t>«Сыбаға».</w:t>
      </w:r>
    </w:p>
    <w:p>
      <w:pPr>
        <w:pStyle w:val="BodyText"/>
        <w:spacing w:line="276" w:lineRule="auto"/>
        <w:ind w:right="120" w:firstLine="566"/>
        <w:jc w:val="both"/>
      </w:pPr>
      <w:r>
        <w:rPr/>
        <w:t>За эти годы завезено 45 054 голов различных пород скота, из которых 7 424 головы были исследованы на блютанг и 3 542 головы на болезнь Шмалленберга. Из числа исследованных у 68 голов животных,завезенных из США, была выявлена серопозитивность на блютанг. Но геномные исследования не установили наличия генетических материалов возбудителя.</w:t>
      </w:r>
    </w:p>
    <w:p>
      <w:pPr>
        <w:pStyle w:val="BodyText"/>
        <w:spacing w:line="276" w:lineRule="auto"/>
        <w:ind w:right="120" w:firstLine="566"/>
        <w:jc w:val="both"/>
      </w:pPr>
      <w:r>
        <w:rPr/>
        <w:t>Для установления наличия вероятного риска, исходящего от импортного скота, были изучены эпизоотические показатели стран экспортеров скота по отношению к блютангу и болезни Шмалленберга. В связи с тем, что основными поставщиками племенного скота являются США, Канада, страны ЕС и Россия, анализу подвергалась эпизоотическая ситуация территории этих стран по указанным болезням.</w:t>
      </w:r>
    </w:p>
    <w:p>
      <w:pPr>
        <w:pStyle w:val="BodyText"/>
        <w:spacing w:line="276" w:lineRule="auto" w:before="1"/>
        <w:ind w:right="120" w:firstLine="566"/>
        <w:jc w:val="both"/>
      </w:pPr>
      <w:r>
        <w:rPr/>
        <w:t>Согласно информации официального сайта МЭБ, последние случаи регистрации и подтверждения блютанга на территории Канады были в 2013 году вблизи с границей США.Учитывая этот факт можно предполагать о том, что существует высокая вероятность циркуляции вируса блютанга и на территории США в штатах: </w:t>
      </w:r>
      <w:hyperlink r:id="rId9">
        <w:r>
          <w:rPr/>
          <w:t>Монтана</w:t>
        </w:r>
      </w:hyperlink>
      <w:r>
        <w:rPr/>
        <w:t>, </w:t>
      </w:r>
      <w:hyperlink r:id="rId10">
        <w:r>
          <w:rPr/>
          <w:t>Айдахо </w:t>
        </w:r>
      </w:hyperlink>
      <w:r>
        <w:rPr/>
        <w:t>и </w:t>
      </w:r>
      <w:hyperlink r:id="rId11">
        <w:r>
          <w:rPr/>
          <w:t>Вашингтон</w:t>
        </w:r>
      </w:hyperlink>
      <w:r>
        <w:rPr>
          <w:sz w:val="24"/>
        </w:rPr>
        <w:t>, </w:t>
      </w:r>
      <w:r>
        <w:rPr/>
        <w:t>граничащих с Канадой. В Европе и близлежащих к ней странах блютанг имеет значительное распространение (Нидерланды, Швейцария, Польша, Греция, Турция Кипр, Испания, Португалия, Марокко, Алжир, Тунис, Россия). Из государств, неблагополучных по блютангу,  непосредственно граничащим с РК, является Российская Федерация. Данные 1997 года о регистрации положительных случаев на блютанг на территории Российской Федерации  приведены на рисунке</w:t>
      </w:r>
      <w:r>
        <w:rPr>
          <w:spacing w:val="-1"/>
        </w:rPr>
        <w:t> </w:t>
      </w:r>
      <w:r>
        <w:rPr/>
        <w:t>1.</w:t>
      </w:r>
    </w:p>
    <w:p>
      <w:pPr>
        <w:spacing w:after="0" w:line="276" w:lineRule="auto"/>
        <w:jc w:val="both"/>
        <w:sectPr>
          <w:pgSz w:w="11910" w:h="16840"/>
          <w:pgMar w:header="0" w:footer="1038" w:top="1040" w:bottom="1240" w:left="780" w:right="440"/>
        </w:sectPr>
      </w:pPr>
    </w:p>
    <w:p>
      <w:pPr>
        <w:pStyle w:val="BodyText"/>
        <w:ind w:left="311"/>
        <w:rPr>
          <w:sz w:val="20"/>
        </w:rPr>
      </w:pPr>
      <w:r>
        <w:rPr>
          <w:sz w:val="20"/>
        </w:rPr>
        <w:drawing>
          <wp:inline distT="0" distB="0" distL="0" distR="0">
            <wp:extent cx="6459839" cy="320040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839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4"/>
        <w:ind w:left="3394" w:right="760" w:hanging="2531"/>
      </w:pPr>
      <w:r>
        <w:rPr/>
        <w:t>Рисунок 1 – Регионы РФ, в которых выявлены положительно реагирующие на блютанг животные в 1997 год.</w:t>
      </w:r>
    </w:p>
    <w:p>
      <w:pPr>
        <w:pStyle w:val="BodyText"/>
        <w:spacing w:before="1"/>
        <w:ind w:left="0"/>
      </w:pPr>
    </w:p>
    <w:p>
      <w:pPr>
        <w:pStyle w:val="BodyText"/>
        <w:spacing w:line="276" w:lineRule="auto"/>
        <w:ind w:right="129" w:firstLine="566"/>
        <w:jc w:val="both"/>
      </w:pPr>
      <w:r>
        <w:rPr/>
        <w:t>Из рисунка 1 следует, что положительно реагирующие животные регистрируются в центральных, южных и восточных регионах</w:t>
      </w:r>
      <w:r>
        <w:rPr>
          <w:spacing w:val="-5"/>
        </w:rPr>
        <w:t> </w:t>
      </w:r>
      <w:r>
        <w:rPr/>
        <w:t>РФ.</w:t>
      </w:r>
    </w:p>
    <w:p>
      <w:pPr>
        <w:pStyle w:val="BodyText"/>
        <w:spacing w:line="276" w:lineRule="auto"/>
        <w:ind w:right="129" w:firstLine="566"/>
        <w:jc w:val="both"/>
      </w:pPr>
      <w:r>
        <w:rPr/>
        <w:t>Согласно данным МЭБ вирус болезни Шмалленберга продолжает распространяться на территории Европы (Германия, Люксембург, Швейцария, Франция, Бельгия, Нидерланды).</w:t>
      </w:r>
    </w:p>
    <w:p>
      <w:pPr>
        <w:pStyle w:val="BodyText"/>
        <w:spacing w:line="276" w:lineRule="auto"/>
        <w:ind w:right="120" w:firstLine="566"/>
        <w:jc w:val="both"/>
      </w:pPr>
      <w:r>
        <w:rPr/>
        <w:t>В 2012 году на территорию Владимирской и Курской областей и Красноярского края РФ были завезены животные, положительно реагирующие на вирус болезни Шмалленберга.</w:t>
      </w:r>
    </w:p>
    <w:p>
      <w:pPr>
        <w:pStyle w:val="BodyText"/>
        <w:spacing w:line="276" w:lineRule="auto"/>
        <w:ind w:right="121" w:firstLine="566"/>
        <w:jc w:val="both"/>
      </w:pPr>
      <w:r>
        <w:rPr/>
        <w:t>В сентябре 2012 года завезенный из Австрии в КХ «Леонов» (300 голов КРС) и ТОО «Полтавское» (422 головы КРС) в Северо-Казахстанской области Республики Казахстан</w:t>
      </w:r>
      <w:r>
        <w:rPr>
          <w:spacing w:val="62"/>
        </w:rPr>
        <w:t> </w:t>
      </w:r>
      <w:r>
        <w:rPr/>
        <w:t>КРС</w:t>
      </w:r>
      <w:r>
        <w:rPr>
          <w:spacing w:val="60"/>
        </w:rPr>
        <w:t> </w:t>
      </w:r>
      <w:r>
        <w:rPr/>
        <w:t>в</w:t>
      </w:r>
      <w:r>
        <w:rPr>
          <w:spacing w:val="60"/>
        </w:rPr>
        <w:t> </w:t>
      </w:r>
      <w:r>
        <w:rPr/>
        <w:t>количестве</w:t>
      </w:r>
      <w:r>
        <w:rPr>
          <w:spacing w:val="56"/>
        </w:rPr>
        <w:t> </w:t>
      </w:r>
      <w:r>
        <w:rPr/>
        <w:t>722</w:t>
      </w:r>
      <w:r>
        <w:rPr>
          <w:spacing w:val="61"/>
        </w:rPr>
        <w:t> </w:t>
      </w:r>
      <w:r>
        <w:rPr/>
        <w:t>голов</w:t>
      </w:r>
      <w:r>
        <w:rPr>
          <w:spacing w:val="60"/>
        </w:rPr>
        <w:t> </w:t>
      </w:r>
      <w:r>
        <w:rPr/>
        <w:t>был</w:t>
      </w:r>
      <w:r>
        <w:rPr>
          <w:spacing w:val="59"/>
        </w:rPr>
        <w:t> </w:t>
      </w:r>
      <w:r>
        <w:rPr/>
        <w:t>уничтожен</w:t>
      </w:r>
      <w:r>
        <w:rPr>
          <w:spacing w:val="57"/>
        </w:rPr>
        <w:t> </w:t>
      </w:r>
      <w:r>
        <w:rPr/>
        <w:t>из-за</w:t>
      </w:r>
      <w:r>
        <w:rPr>
          <w:spacing w:val="60"/>
        </w:rPr>
        <w:t> </w:t>
      </w:r>
      <w:r>
        <w:rPr/>
        <w:t>обнаруженного</w:t>
      </w:r>
      <w:r>
        <w:rPr>
          <w:spacing w:val="61"/>
        </w:rPr>
        <w:t> </w:t>
      </w:r>
      <w:r>
        <w:rPr/>
        <w:t>РГП</w:t>
      </w:r>
    </w:p>
    <w:p>
      <w:pPr>
        <w:pStyle w:val="BodyText"/>
        <w:spacing w:line="276" w:lineRule="auto" w:before="1"/>
        <w:ind w:right="122"/>
        <w:jc w:val="both"/>
      </w:pPr>
      <w:r>
        <w:rPr/>
        <w:t>«Республиканская ветеринарная лаборатория» и ГУ «Национальный референтный центр по ветеринарии» возбудителей вирусной диареи и болезни Шмалленберга. В связи с установленным диагнозом Постановлением Правительства РК принято решение об уничтожении всего импортированного из Австрии поголовья вместе с полученным приплодом.</w:t>
      </w:r>
    </w:p>
    <w:p>
      <w:pPr>
        <w:pStyle w:val="BodyText"/>
        <w:spacing w:line="276" w:lineRule="auto"/>
        <w:ind w:right="124" w:firstLine="566"/>
        <w:jc w:val="both"/>
      </w:pPr>
      <w:r>
        <w:rPr/>
        <w:t>Для территории Республики Казахстан существует реальная угроза заноса возбудителей блютанга и болезни Шмалленберга. Основной риск в себе несет скот, завозимый из зарубежных стран, территория которых неблагополучна по этим заболеваниям или находится в непосредственной близи со странами, где циркулируют</w:t>
      </w:r>
      <w:r>
        <w:rPr>
          <w:spacing w:val="7"/>
        </w:rPr>
        <w:t> </w:t>
      </w:r>
      <w:r>
        <w:rPr/>
        <w:t>вирусы</w:t>
      </w:r>
      <w:r>
        <w:rPr>
          <w:spacing w:val="9"/>
        </w:rPr>
        <w:t> </w:t>
      </w:r>
      <w:r>
        <w:rPr/>
        <w:t>болезней.</w:t>
      </w:r>
      <w:r>
        <w:rPr>
          <w:spacing w:val="4"/>
        </w:rPr>
        <w:t> </w:t>
      </w:r>
      <w:r>
        <w:rPr/>
        <w:t>Странами</w:t>
      </w:r>
      <w:r>
        <w:rPr>
          <w:spacing w:val="7"/>
        </w:rPr>
        <w:t> </w:t>
      </w:r>
      <w:r>
        <w:rPr/>
        <w:t>риска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блютангу</w:t>
      </w:r>
      <w:r>
        <w:rPr>
          <w:spacing w:val="5"/>
        </w:rPr>
        <w:t> </w:t>
      </w:r>
      <w:r>
        <w:rPr/>
        <w:t>и</w:t>
      </w:r>
      <w:r>
        <w:rPr>
          <w:spacing w:val="7"/>
        </w:rPr>
        <w:t> </w:t>
      </w:r>
      <w:r>
        <w:rPr/>
        <w:t>болезни</w:t>
      </w:r>
    </w:p>
    <w:p>
      <w:pPr>
        <w:spacing w:after="0" w:line="276" w:lineRule="auto"/>
        <w:jc w:val="both"/>
        <w:sectPr>
          <w:pgSz w:w="11910" w:h="16840"/>
          <w:pgMar w:header="0" w:footer="1038" w:top="1120" w:bottom="1240" w:left="780" w:right="440"/>
        </w:sectPr>
      </w:pPr>
    </w:p>
    <w:p>
      <w:pPr>
        <w:pStyle w:val="BodyText"/>
        <w:spacing w:line="278" w:lineRule="auto" w:before="67"/>
        <w:ind w:right="127"/>
        <w:jc w:val="both"/>
      </w:pPr>
      <w:r>
        <w:rPr/>
        <w:t>Шмалленберга для Республики Казахстан являются практически все государства ЕС, определенные области Российской Федерации, некоторые штаты США и Канады.</w:t>
      </w:r>
    </w:p>
    <w:p>
      <w:pPr>
        <w:pStyle w:val="BodyText"/>
        <w:spacing w:line="276" w:lineRule="auto"/>
        <w:ind w:right="119" w:firstLine="566"/>
        <w:jc w:val="both"/>
      </w:pPr>
      <w:r>
        <w:rPr/>
        <w:t>Основными административными территориями республики, которые подвержены такому риску, являются территории животноводческих хозяйств, в которые завозится и разводится импортный скот, а также территории и пути, через которые провозятся такие животные. Так как импортный скот из стран с риском завозится практически на территорию всех административных областей РК, прогнозная вероятность появления изучаемых болезней существует во всей территории республики.</w:t>
      </w:r>
    </w:p>
    <w:p>
      <w:pPr>
        <w:pStyle w:val="BodyText"/>
        <w:spacing w:line="276" w:lineRule="auto"/>
        <w:ind w:right="119" w:firstLine="708"/>
        <w:jc w:val="both"/>
      </w:pPr>
      <w:r>
        <w:rPr/>
        <w:t>За отчетный период выполнения исследований сведения о случаях заболевания животных блютангом и болезнью Шмалленберга не поступали. Но для выявления вероятности циркуляции возбудителей этих болезней среди животных в период выездов по мониторингу были отобраны 2025 проб сыворотки крови от крупного рогатого скота в 14 областях в местах, куда завозился импортный скот в период с 2010 по 2015 годы. Пробы крови также отбирались в сельских округах, близлежащих к хозяйствам, куда ранее был произведен импорт скота. В Акмолинской области отобрано 260 проб в Актюбинской области – 87, Алматинской области – 225, Западно-Казахстанской области – 90, Жамбылской области -112, Атырауской</w:t>
      </w:r>
      <w:r>
        <w:rPr>
          <w:spacing w:val="-1"/>
        </w:rPr>
        <w:t> </w:t>
      </w:r>
      <w:r>
        <w:rPr/>
        <w:t>области</w:t>
      </w:r>
    </w:p>
    <w:p>
      <w:pPr>
        <w:pStyle w:val="BodyText"/>
        <w:spacing w:line="276" w:lineRule="auto"/>
        <w:ind w:right="119"/>
        <w:jc w:val="both"/>
      </w:pPr>
      <w:r>
        <w:rPr/>
        <w:t>-90, Восточно-Казахстанской области – 168, Костанайской области – 202, Карагандинской области – 104, Павлодарской области -184, Северо-Казахстанской области -158, Южно-Казахстанской области – 85, Кызылординской области – 110, Мангистауской области – 150. На данный момент исследования сывороток крови продолжаются. Собраны данные о болезнях, об их эпизоотологии, средствах и методах борьбы с ними, установлены факторы риска появления и распространения. Изучены противоэпизоотические правила Таможенного Союза, ЕС, МЭБ, действующий Алгоритм ввоза импортного скота на территорию Республики Казахстан. На основании имеющихся данных определены зоны риска и создан проект комплекса противоэпизоотических мероприятий по профилактике блютанга и болезни Шмалленберга на территории Республики</w:t>
      </w:r>
      <w:r>
        <w:rPr>
          <w:spacing w:val="-5"/>
        </w:rPr>
        <w:t> </w:t>
      </w:r>
      <w:r>
        <w:rPr/>
        <w:t>Казахстан.</w:t>
      </w:r>
    </w:p>
    <w:p>
      <w:pPr>
        <w:pStyle w:val="BodyText"/>
        <w:ind w:left="780"/>
      </w:pPr>
      <w:r>
        <w:rPr/>
        <w:t>Санитарным Кодексом МЭБ допускается торговля живым скотом из</w:t>
      </w:r>
    </w:p>
    <w:p>
      <w:pPr>
        <w:pStyle w:val="BodyText"/>
        <w:spacing w:line="276" w:lineRule="auto" w:before="45"/>
        <w:ind w:right="119"/>
        <w:jc w:val="both"/>
      </w:pPr>
      <w:r>
        <w:rPr/>
        <w:t>стран, неблагополучных по инфекционным болезням, в том числе и блютангу, но при выполнении определѐнных ветеринарно-санитарных правил, которые имеют некоторые варианты: 1) при отборе животных для продажи: 2) при содержании до отправки: 3) при проведении тестирования животных лабораторными методами для исключения либо серо-положительных животных (конкурентный иммуноферментный анализ, далее с-ИФА), либо вирусоносителей (полимеразная цепная реакция, далее 0Т-ПЦР) на карантинной станции до отправки в страну- импортѐр.</w:t>
      </w:r>
    </w:p>
    <w:p>
      <w:pPr>
        <w:spacing w:after="0" w:line="276" w:lineRule="auto"/>
        <w:jc w:val="both"/>
        <w:sectPr>
          <w:pgSz w:w="11910" w:h="16840"/>
          <w:pgMar w:header="0" w:footer="1038" w:top="1040" w:bottom="1240" w:left="780" w:right="440"/>
        </w:sectPr>
      </w:pPr>
    </w:p>
    <w:p>
      <w:pPr>
        <w:pStyle w:val="BodyText"/>
        <w:spacing w:line="276" w:lineRule="auto" w:before="67"/>
        <w:ind w:right="119" w:firstLine="566"/>
        <w:jc w:val="both"/>
      </w:pPr>
      <w:r>
        <w:rPr/>
        <w:t>Научно-методическое сопровождение противоэпизоотических мероприятий, выявление и описание основных критериев оценки рисков появления и распространения блютанга и болезни Шмалленберга на территории республики осуществлено в виде бесед о болезнях, тренингов по отбору, хранению и доставке в лабораторию проб патологического материала, собранных от животных, подозреваемых в заболевании блютангом и болезнью Шмалленберга.</w:t>
      </w:r>
    </w:p>
    <w:p>
      <w:pPr>
        <w:pStyle w:val="BodyText"/>
        <w:spacing w:line="276" w:lineRule="auto" w:before="1"/>
        <w:ind w:right="126" w:firstLine="566"/>
        <w:jc w:val="both"/>
      </w:pPr>
      <w:r>
        <w:rPr/>
        <w:t>Согласно законам эпизоотологии и существующей ситуации содержания и разведения сельскохозяйственных, домашних видов животных и жизни животных дикой природы и природной обстановки вокруг них основными критериями оценки рисков при блютанге и болезни Шмалленберга, так же как и при других инфекционных заболеваниях, должны быть движущие силы их эпизоотий.</w:t>
      </w:r>
    </w:p>
    <w:p>
      <w:pPr>
        <w:pStyle w:val="BodyText"/>
        <w:spacing w:line="276" w:lineRule="auto" w:before="2"/>
        <w:ind w:right="127" w:firstLine="566"/>
        <w:jc w:val="both"/>
      </w:pPr>
      <w:r>
        <w:rPr/>
        <w:t>Заболевания имеют между собой сходную эпизоотологию. Особенностью и схожестью эпизоотологий этих болезней является то, что возбудители болезней передаются через укус кровососущих насекомых.</w:t>
      </w:r>
    </w:p>
    <w:p>
      <w:pPr>
        <w:pStyle w:val="BodyText"/>
        <w:spacing w:line="276" w:lineRule="auto"/>
        <w:ind w:right="117" w:firstLine="566"/>
        <w:jc w:val="both"/>
      </w:pPr>
      <w:r>
        <w:rPr/>
        <w:t>Эпизоотологический мониторинг сельскохозяйственных животных территории зоны с высоким риском появления блютанга и болезни Шмалленберг проведен на основании статистических данных ветеринарной отчетности, результатов серологического мониторинга, выполненных РГП «РВЛ» и РГП «НРЦВ», а также собственных исследований.</w:t>
      </w:r>
    </w:p>
    <w:p>
      <w:pPr>
        <w:pStyle w:val="BodyText"/>
        <w:spacing w:line="276" w:lineRule="auto"/>
        <w:ind w:right="126" w:firstLine="566"/>
        <w:jc w:val="both"/>
      </w:pPr>
      <w:r>
        <w:rPr/>
        <w:t>В целях выявления территорий с высоким риском заноса и появления таких экзотических болезней, как блютанг и болезнь Шмалленберг, был проведен сбор данных о скоте, завозимом из зарубежных стран, и сведений об эпизоотической ситуации территорий этих государств по исследуемым нозологическим единицам.</w:t>
      </w:r>
    </w:p>
    <w:p>
      <w:pPr>
        <w:pStyle w:val="BodyText"/>
        <w:spacing w:line="276" w:lineRule="auto"/>
        <w:ind w:right="124" w:firstLine="566"/>
        <w:jc w:val="both"/>
      </w:pPr>
      <w:r>
        <w:rPr/>
        <w:t>Завоз импортного скота в республику осуществляется с 2010 года в рамках государственных программ: «Развитие экспортного потенциала мяса крупного рогатого скота Республики Казахстан», «Сыбага». Данные о завозе скота в период 2014-2015 годы приведены в таблице 1.</w:t>
      </w:r>
    </w:p>
    <w:p>
      <w:pPr>
        <w:pStyle w:val="BodyText"/>
      </w:pPr>
      <w:r>
        <w:rPr/>
        <w:t>Таблица 1 – Сведения о скоте, импортированном в РК за 2014-2015 годы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983"/>
        <w:gridCol w:w="1560"/>
        <w:gridCol w:w="994"/>
        <w:gridCol w:w="1114"/>
        <w:gridCol w:w="1155"/>
        <w:gridCol w:w="998"/>
        <w:gridCol w:w="1234"/>
      </w:tblGrid>
      <w:tr>
        <w:trPr>
          <w:trHeight w:val="321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315" w:lineRule="exact"/>
              <w:ind w:left="13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>
            <w:pPr>
              <w:pStyle w:val="TableParagraph"/>
              <w:spacing w:line="240" w:lineRule="auto"/>
              <w:ind w:left="150" w:right="124" w:hanging="20"/>
              <w:jc w:val="both"/>
              <w:rPr>
                <w:sz w:val="28"/>
              </w:rPr>
            </w:pPr>
            <w:r>
              <w:rPr>
                <w:sz w:val="28"/>
              </w:rPr>
              <w:t>№ п/ п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240" w:lineRule="auto"/>
              <w:ind w:left="414" w:right="395" w:firstLine="36"/>
              <w:jc w:val="left"/>
              <w:rPr>
                <w:sz w:val="28"/>
              </w:rPr>
            </w:pPr>
            <w:r>
              <w:rPr>
                <w:sz w:val="28"/>
              </w:rPr>
              <w:t>Область- импортер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40" w:lineRule="auto"/>
              <w:ind w:left="179" w:right="154" w:firstLine="129"/>
              <w:jc w:val="left"/>
              <w:rPr>
                <w:sz w:val="28"/>
              </w:rPr>
            </w:pPr>
            <w:r>
              <w:rPr>
                <w:sz w:val="28"/>
              </w:rPr>
              <w:t>Страна- экспортер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40" w:lineRule="auto"/>
              <w:ind w:left="356" w:right="192" w:hanging="144"/>
              <w:jc w:val="left"/>
              <w:rPr>
                <w:sz w:val="28"/>
              </w:rPr>
            </w:pPr>
            <w:r>
              <w:rPr>
                <w:sz w:val="28"/>
              </w:rPr>
              <w:t>Кол- во</w:t>
            </w:r>
          </w:p>
          <w:p>
            <w:pPr>
              <w:pStyle w:val="TableParagraph"/>
              <w:spacing w:line="240" w:lineRule="auto"/>
              <w:ind w:left="330" w:right="114" w:hanging="197"/>
              <w:jc w:val="left"/>
              <w:rPr>
                <w:sz w:val="28"/>
              </w:rPr>
            </w:pPr>
            <w:r>
              <w:rPr>
                <w:sz w:val="28"/>
              </w:rPr>
              <w:t>скота, гол</w:t>
            </w:r>
          </w:p>
        </w:tc>
        <w:tc>
          <w:tcPr>
            <w:tcW w:w="4501" w:type="dxa"/>
            <w:gridSpan w:val="4"/>
          </w:tcPr>
          <w:p>
            <w:pPr>
              <w:pStyle w:val="TableParagraph"/>
              <w:ind w:left="1192"/>
              <w:jc w:val="left"/>
              <w:rPr>
                <w:sz w:val="28"/>
              </w:rPr>
            </w:pPr>
            <w:r>
              <w:rPr>
                <w:sz w:val="28"/>
              </w:rPr>
              <w:t>Исследования на:</w:t>
            </w:r>
          </w:p>
        </w:tc>
      </w:tr>
      <w:tr>
        <w:trPr>
          <w:trHeight w:val="642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spacing w:line="315" w:lineRule="exact"/>
              <w:ind w:left="628"/>
              <w:jc w:val="left"/>
              <w:rPr>
                <w:sz w:val="28"/>
              </w:rPr>
            </w:pPr>
            <w:r>
              <w:rPr>
                <w:sz w:val="28"/>
              </w:rPr>
              <w:t>блютанг</w:t>
            </w:r>
          </w:p>
        </w:tc>
        <w:tc>
          <w:tcPr>
            <w:tcW w:w="2232" w:type="dxa"/>
            <w:gridSpan w:val="2"/>
          </w:tcPr>
          <w:p>
            <w:pPr>
              <w:pStyle w:val="TableParagraph"/>
              <w:spacing w:line="315" w:lineRule="exact"/>
              <w:ind w:left="200" w:right="197"/>
              <w:rPr>
                <w:sz w:val="28"/>
              </w:rPr>
            </w:pPr>
            <w:r>
              <w:rPr>
                <w:sz w:val="28"/>
              </w:rPr>
              <w:t>болезнь</w:t>
            </w:r>
          </w:p>
          <w:p>
            <w:pPr>
              <w:pStyle w:val="TableParagraph"/>
              <w:spacing w:line="308" w:lineRule="exact"/>
              <w:ind w:left="200" w:right="198"/>
              <w:rPr>
                <w:sz w:val="28"/>
              </w:rPr>
            </w:pPr>
            <w:r>
              <w:rPr>
                <w:sz w:val="28"/>
              </w:rPr>
              <w:t>Шмалленберга</w:t>
            </w:r>
          </w:p>
        </w:tc>
      </w:tr>
      <w:tr>
        <w:trPr>
          <w:trHeight w:val="323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7" w:right="21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111" w:right="107"/>
              <w:rPr>
                <w:sz w:val="28"/>
              </w:rPr>
            </w:pPr>
            <w:r>
              <w:rPr>
                <w:sz w:val="28"/>
              </w:rPr>
              <w:t>Полож.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131" w:right="126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150" w:right="147"/>
              <w:rPr>
                <w:sz w:val="28"/>
              </w:rPr>
            </w:pPr>
            <w:r>
              <w:rPr>
                <w:sz w:val="28"/>
              </w:rPr>
              <w:t>Полож.</w:t>
            </w: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983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114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155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98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234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rPr>
          <w:trHeight w:val="321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Костанайская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994" w:type="dxa"/>
          </w:tcPr>
          <w:p>
            <w:pPr>
              <w:pStyle w:val="TableParagraph"/>
              <w:spacing w:line="302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1511</w:t>
            </w:r>
          </w:p>
        </w:tc>
        <w:tc>
          <w:tcPr>
            <w:tcW w:w="1114" w:type="dxa"/>
          </w:tcPr>
          <w:p>
            <w:pPr>
              <w:pStyle w:val="TableParagraph"/>
              <w:spacing w:line="302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1511</w:t>
            </w:r>
          </w:p>
        </w:tc>
        <w:tc>
          <w:tcPr>
            <w:tcW w:w="1155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2" w:lineRule="exact"/>
              <w:ind w:left="128" w:right="126"/>
              <w:rPr>
                <w:sz w:val="28"/>
              </w:rPr>
            </w:pPr>
            <w:r>
              <w:rPr>
                <w:sz w:val="28"/>
              </w:rPr>
              <w:t>1511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909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909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128" w:right="126"/>
              <w:rPr>
                <w:sz w:val="28"/>
              </w:rPr>
            </w:pPr>
            <w:r>
              <w:rPr>
                <w:sz w:val="28"/>
              </w:rPr>
              <w:t>909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Актюбинская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509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509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128" w:right="126"/>
              <w:rPr>
                <w:sz w:val="28"/>
              </w:rPr>
            </w:pPr>
            <w:r>
              <w:rPr>
                <w:sz w:val="28"/>
              </w:rPr>
              <w:t>509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Алматинская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Австралия</w:t>
            </w:r>
          </w:p>
        </w:tc>
        <w:tc>
          <w:tcPr>
            <w:tcW w:w="994" w:type="dxa"/>
          </w:tcPr>
          <w:p>
            <w:pPr>
              <w:pStyle w:val="TableParagraph"/>
              <w:ind w:left="121" w:right="120"/>
              <w:rPr>
                <w:sz w:val="28"/>
              </w:rPr>
            </w:pPr>
            <w:r>
              <w:rPr>
                <w:sz w:val="28"/>
              </w:rPr>
              <w:t>2 791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2 791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127" w:right="126"/>
              <w:rPr>
                <w:sz w:val="28"/>
              </w:rPr>
            </w:pPr>
            <w:r>
              <w:rPr>
                <w:sz w:val="28"/>
              </w:rPr>
              <w:t>2 791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128" w:right="126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Канада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1617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1617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128" w:right="126"/>
              <w:rPr>
                <w:sz w:val="28"/>
              </w:rPr>
            </w:pPr>
            <w:r>
              <w:rPr>
                <w:sz w:val="28"/>
              </w:rPr>
              <w:t>1617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1038" w:top="1040" w:bottom="1220" w:left="78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983"/>
        <w:gridCol w:w="1560"/>
        <w:gridCol w:w="994"/>
        <w:gridCol w:w="1114"/>
        <w:gridCol w:w="1155"/>
        <w:gridCol w:w="998"/>
        <w:gridCol w:w="1234"/>
      </w:tblGrid>
      <w:tr>
        <w:trPr>
          <w:trHeight w:val="323" w:hRule="atLeast"/>
        </w:trPr>
        <w:tc>
          <w:tcPr>
            <w:tcW w:w="536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983" w:type="dxa"/>
          </w:tcPr>
          <w:p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rPr>
          <w:trHeight w:val="321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310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Акмолинская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spacing w:line="302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114" w:type="dxa"/>
          </w:tcPr>
          <w:p>
            <w:pPr>
              <w:pStyle w:val="TableParagraph"/>
              <w:spacing w:line="302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302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123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Германия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858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858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858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Венгрия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Атырауская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843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843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843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309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309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Жамбулская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Канада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602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602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602</w:t>
            </w:r>
          </w:p>
        </w:tc>
        <w:tc>
          <w:tcPr>
            <w:tcW w:w="123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Караганд-кая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429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429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429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309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309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ВКО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737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737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737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123" w:right="12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7" w:right="20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129" w:right="12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Австралия</w:t>
            </w:r>
          </w:p>
        </w:tc>
        <w:tc>
          <w:tcPr>
            <w:tcW w:w="994" w:type="dxa"/>
          </w:tcPr>
          <w:p>
            <w:pPr>
              <w:pStyle w:val="TableParagraph"/>
              <w:spacing w:line="302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114" w:type="dxa"/>
          </w:tcPr>
          <w:p>
            <w:pPr>
              <w:pStyle w:val="TableParagraph"/>
              <w:spacing w:line="302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155" w:type="dxa"/>
          </w:tcPr>
          <w:p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2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ЗКО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2283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2283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2283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536" w:type="dxa"/>
          </w:tcPr>
          <w:p>
            <w:pPr>
              <w:pStyle w:val="TableParagraph"/>
              <w:spacing w:line="304" w:lineRule="exact"/>
              <w:ind w:left="106" w:right="10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3" w:type="dxa"/>
          </w:tcPr>
          <w:p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СКО</w:t>
            </w:r>
          </w:p>
        </w:tc>
        <w:tc>
          <w:tcPr>
            <w:tcW w:w="1560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</w:tc>
        <w:tc>
          <w:tcPr>
            <w:tcW w:w="994" w:type="dxa"/>
          </w:tcPr>
          <w:p>
            <w:pPr>
              <w:pStyle w:val="TableParagraph"/>
              <w:spacing w:line="304" w:lineRule="exact"/>
              <w:ind w:left="122" w:right="120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14" w:type="dxa"/>
          </w:tcPr>
          <w:p>
            <w:pPr>
              <w:pStyle w:val="TableParagraph"/>
              <w:spacing w:line="304" w:lineRule="exact"/>
              <w:ind w:left="216" w:right="210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55" w:type="dxa"/>
          </w:tcPr>
          <w:p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304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234" w:type="dxa"/>
          </w:tcPr>
          <w:p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ind w:left="106" w:righ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Павлодарская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Австралия</w:t>
            </w:r>
          </w:p>
        </w:tc>
        <w:tc>
          <w:tcPr>
            <w:tcW w:w="994" w:type="dxa"/>
          </w:tcPr>
          <w:p>
            <w:pPr>
              <w:pStyle w:val="TableParagraph"/>
              <w:ind w:left="122" w:right="120"/>
              <w:rPr>
                <w:sz w:val="28"/>
              </w:rPr>
            </w:pPr>
            <w:r>
              <w:rPr>
                <w:sz w:val="28"/>
              </w:rPr>
              <w:t>1202</w:t>
            </w:r>
          </w:p>
        </w:tc>
        <w:tc>
          <w:tcPr>
            <w:tcW w:w="1114" w:type="dxa"/>
          </w:tcPr>
          <w:p>
            <w:pPr>
              <w:pStyle w:val="TableParagraph"/>
              <w:ind w:left="216" w:right="210"/>
              <w:rPr>
                <w:sz w:val="28"/>
              </w:rPr>
            </w:pPr>
            <w:r>
              <w:rPr>
                <w:sz w:val="28"/>
              </w:rPr>
              <w:t>1202</w:t>
            </w:r>
          </w:p>
        </w:tc>
        <w:tc>
          <w:tcPr>
            <w:tcW w:w="1155" w:type="dxa"/>
          </w:tcPr>
          <w:p>
            <w:pPr>
              <w:pStyle w:val="TableParagraph"/>
              <w:ind w:left="3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1202</w:t>
            </w:r>
          </w:p>
        </w:tc>
        <w:tc>
          <w:tcPr>
            <w:tcW w:w="1234" w:type="dxa"/>
          </w:tcPr>
          <w:p>
            <w:pPr>
              <w:pStyle w:val="TableParagraph"/>
              <w:ind w:left="1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ind w:left="124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17227</w:t>
            </w:r>
          </w:p>
        </w:tc>
        <w:tc>
          <w:tcPr>
            <w:tcW w:w="111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line="276" w:lineRule="auto" w:before="89"/>
        <w:ind w:right="117" w:firstLine="566"/>
        <w:jc w:val="both"/>
      </w:pPr>
      <w:r>
        <w:rPr/>
        <w:t>Как видно из данных таблицы 1, в 2014-2015 годы в Республику Казахстан было завезено из Российской Федерации, Канады, США, Австралии, Украины17 227 голов крупного рогатого скота, которые для дальнейшего разведения распределены на территориях 11 областей. При ввозе скот, также как и в 2014-2015 годы, подвергался карантинированию согласно соответствующим правилам МСХ РК, в течение которого подвергался мониторингу на благополучие от инфекционных болезней, в том числе блютангу и болезни Шмалленберг. Для установления наличия вероятного риска, исходящего от импортного скота, были изучены эпизоотические показатели стран экспортеров скота по отношению к блютангу и болезни Шмалленберг. В связи с тем, что основными поставщиками племенного скота являются США, Канада, страны ЕС и Россия анализу подвергалась эпизоотическая ситуация территории этих стран по указанным</w:t>
      </w:r>
      <w:r>
        <w:rPr>
          <w:spacing w:val="-3"/>
        </w:rPr>
        <w:t> </w:t>
      </w:r>
      <w:r>
        <w:rPr/>
        <w:t>болезням.</w:t>
      </w:r>
    </w:p>
    <w:p>
      <w:pPr>
        <w:pStyle w:val="BodyText"/>
        <w:spacing w:line="276" w:lineRule="auto" w:before="2"/>
        <w:ind w:right="129" w:firstLine="540"/>
        <w:jc w:val="both"/>
      </w:pPr>
      <w:r>
        <w:rPr/>
        <w:t>Согласно информации официального сайта МЭБ, последние случаи регистрации и подтверждения блютанга на территории Канады были в 2013 году, сведения о которых приведены в таблице 2.</w:t>
      </w: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</w:pPr>
      <w:r>
        <w:rPr/>
        <w:t>Таблица 2 - Случаи регистрации блютанга в Канаде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 w:after="1"/>
        <w:ind w:left="0"/>
        <w:rPr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4"/>
        <w:gridCol w:w="2818"/>
        <w:gridCol w:w="1969"/>
        <w:gridCol w:w="2394"/>
      </w:tblGrid>
      <w:tr>
        <w:trPr>
          <w:trHeight w:val="741" w:hRule="atLeast"/>
        </w:trPr>
        <w:tc>
          <w:tcPr>
            <w:tcW w:w="2394" w:type="dxa"/>
          </w:tcPr>
          <w:p>
            <w:pPr>
              <w:pStyle w:val="TableParagraph"/>
              <w:spacing w:line="240" w:lineRule="auto" w:before="177"/>
              <w:ind w:left="114" w:right="108"/>
              <w:rPr>
                <w:sz w:val="28"/>
              </w:rPr>
            </w:pPr>
            <w:r>
              <w:rPr>
                <w:sz w:val="28"/>
              </w:rPr>
              <w:t>Дата регистрации</w:t>
            </w:r>
          </w:p>
        </w:tc>
        <w:tc>
          <w:tcPr>
            <w:tcW w:w="2818" w:type="dxa"/>
          </w:tcPr>
          <w:p>
            <w:pPr>
              <w:pStyle w:val="TableParagraph"/>
              <w:spacing w:line="240" w:lineRule="auto" w:before="177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318" w:right="314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>
            <w:pPr>
              <w:pStyle w:val="TableParagraph"/>
              <w:spacing w:line="240" w:lineRule="auto" w:before="50"/>
              <w:ind w:left="322" w:right="314"/>
              <w:rPr>
                <w:sz w:val="28"/>
              </w:rPr>
            </w:pPr>
            <w:r>
              <w:rPr>
                <w:sz w:val="28"/>
              </w:rPr>
              <w:t>животного</w:t>
            </w:r>
          </w:p>
        </w:tc>
        <w:tc>
          <w:tcPr>
            <w:tcW w:w="2394" w:type="dxa"/>
          </w:tcPr>
          <w:p>
            <w:pPr>
              <w:pStyle w:val="TableParagraph"/>
              <w:spacing w:line="240" w:lineRule="auto" w:before="177"/>
              <w:ind w:left="112" w:right="108"/>
              <w:rPr>
                <w:sz w:val="28"/>
              </w:rPr>
            </w:pPr>
            <w:r>
              <w:rPr>
                <w:sz w:val="28"/>
              </w:rPr>
              <w:t>Кол-во случаев</w:t>
            </w:r>
          </w:p>
        </w:tc>
      </w:tr>
      <w:tr>
        <w:trPr>
          <w:trHeight w:val="741" w:hRule="atLeast"/>
        </w:trPr>
        <w:tc>
          <w:tcPr>
            <w:tcW w:w="2394" w:type="dxa"/>
          </w:tcPr>
          <w:p>
            <w:pPr>
              <w:pStyle w:val="TableParagraph"/>
              <w:spacing w:line="240" w:lineRule="auto" w:before="177"/>
              <w:ind w:left="114" w:right="107"/>
              <w:rPr>
                <w:sz w:val="28"/>
              </w:rPr>
            </w:pPr>
            <w:r>
              <w:rPr>
                <w:sz w:val="28"/>
              </w:rPr>
              <w:t>16/10/2013</w:t>
            </w:r>
          </w:p>
        </w:tc>
        <w:tc>
          <w:tcPr>
            <w:tcW w:w="2818" w:type="dxa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Penticton, BRITISH</w:t>
            </w:r>
          </w:p>
          <w:p>
            <w:pPr>
              <w:pStyle w:val="TableParagraph"/>
              <w:spacing w:line="240" w:lineRule="auto" w:before="47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COLUMBIA</w:t>
            </w:r>
          </w:p>
        </w:tc>
        <w:tc>
          <w:tcPr>
            <w:tcW w:w="1969" w:type="dxa"/>
          </w:tcPr>
          <w:p>
            <w:pPr>
              <w:pStyle w:val="TableParagraph"/>
              <w:spacing w:line="240" w:lineRule="auto" w:before="177"/>
              <w:ind w:left="319" w:right="314"/>
              <w:rPr>
                <w:sz w:val="28"/>
              </w:rPr>
            </w:pPr>
            <w:r>
              <w:rPr>
                <w:sz w:val="28"/>
              </w:rPr>
              <w:t>КРС</w:t>
            </w:r>
          </w:p>
        </w:tc>
        <w:tc>
          <w:tcPr>
            <w:tcW w:w="2394" w:type="dxa"/>
          </w:tcPr>
          <w:p>
            <w:pPr>
              <w:pStyle w:val="TableParagraph"/>
              <w:spacing w:line="240" w:lineRule="auto" w:before="177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rPr>
          <w:trHeight w:val="741" w:hRule="atLeast"/>
        </w:trPr>
        <w:tc>
          <w:tcPr>
            <w:tcW w:w="2394" w:type="dxa"/>
          </w:tcPr>
          <w:p>
            <w:pPr>
              <w:pStyle w:val="TableParagraph"/>
              <w:spacing w:line="240" w:lineRule="auto" w:before="177"/>
              <w:ind w:left="114" w:right="107"/>
              <w:rPr>
                <w:sz w:val="28"/>
              </w:rPr>
            </w:pPr>
            <w:r>
              <w:rPr>
                <w:sz w:val="28"/>
              </w:rPr>
              <w:t>16/10/2013</w:t>
            </w:r>
          </w:p>
        </w:tc>
        <w:tc>
          <w:tcPr>
            <w:tcW w:w="2818" w:type="dxa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Oliver, BRITISH</w:t>
            </w:r>
          </w:p>
          <w:p>
            <w:pPr>
              <w:pStyle w:val="TableParagraph"/>
              <w:spacing w:line="240" w:lineRule="auto" w:before="47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COLUMBIA</w:t>
            </w:r>
          </w:p>
        </w:tc>
        <w:tc>
          <w:tcPr>
            <w:tcW w:w="1969" w:type="dxa"/>
          </w:tcPr>
          <w:p>
            <w:pPr>
              <w:pStyle w:val="TableParagraph"/>
              <w:spacing w:line="240" w:lineRule="auto" w:before="177"/>
              <w:ind w:left="319" w:right="314"/>
              <w:rPr>
                <w:sz w:val="28"/>
              </w:rPr>
            </w:pPr>
            <w:r>
              <w:rPr>
                <w:sz w:val="28"/>
              </w:rPr>
              <w:t>КРС</w:t>
            </w:r>
          </w:p>
        </w:tc>
        <w:tc>
          <w:tcPr>
            <w:tcW w:w="2394" w:type="dxa"/>
          </w:tcPr>
          <w:p>
            <w:pPr>
              <w:pStyle w:val="TableParagraph"/>
              <w:spacing w:line="240" w:lineRule="auto" w:before="177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</w:tbl>
    <w:p>
      <w:pPr>
        <w:spacing w:after="0" w:line="240" w:lineRule="auto"/>
        <w:rPr>
          <w:sz w:val="28"/>
        </w:rPr>
        <w:sectPr>
          <w:pgSz w:w="11910" w:h="16840"/>
          <w:pgMar w:header="0" w:footer="1038" w:top="1120" w:bottom="1240" w:left="780" w:right="440"/>
        </w:sectPr>
      </w:pPr>
    </w:p>
    <w:p>
      <w:pPr>
        <w:pStyle w:val="BodyText"/>
        <w:spacing w:line="276" w:lineRule="auto" w:before="59"/>
        <w:ind w:right="121" w:firstLine="540"/>
        <w:jc w:val="both"/>
      </w:pPr>
      <w:r>
        <w:rPr/>
        <w:t>Как следует из таблицы 6, в октябре 2013 года в провинции Британская Колумбия (Юго-Запад Канады) было выявлено 2 случая выделения вируса блютанга (4 пробы от КРС) [</w:t>
      </w:r>
      <w:hyperlink r:id="rId13">
        <w:r>
          <w:rPr>
            <w:color w:val="0000FF"/>
            <w:u w:val="single" w:color="0000FF"/>
          </w:rPr>
          <w:t>http://www.oie.int</w:t>
        </w:r>
      </w:hyperlink>
      <w:r>
        <w:rPr/>
        <w:t>].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BodyText"/>
        <w:spacing w:line="276" w:lineRule="auto" w:before="89"/>
        <w:ind w:right="119" w:firstLine="566"/>
        <w:jc w:val="both"/>
      </w:pPr>
      <w:r>
        <w:rPr/>
        <w:t>Исходя из вышеприведенных сведений, в том числе эпизоотической ситуации по блютангу и болезни Шмалленберга в мире и РК, биологии их возбудителей, существующих рисков, для сохранения биобезопасности в стране на 2016 год предлагается следующий комплекс противоэпизоотических мероприятий.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1839" w:val="left" w:leader="none"/>
        </w:tabs>
        <w:spacing w:line="322" w:lineRule="exact" w:before="0" w:after="0"/>
        <w:ind w:left="1838" w:right="0" w:hanging="360"/>
        <w:jc w:val="left"/>
      </w:pPr>
      <w:r>
        <w:rPr/>
        <w:t>Меры безопасности для предотвращения блютанга и</w:t>
      </w:r>
      <w:r>
        <w:rPr>
          <w:spacing w:val="-14"/>
        </w:rPr>
        <w:t> </w:t>
      </w:r>
      <w:r>
        <w:rPr/>
        <w:t>болезни</w:t>
      </w:r>
    </w:p>
    <w:p>
      <w:pPr>
        <w:pStyle w:val="Heading1"/>
        <w:ind w:left="4784"/>
      </w:pPr>
      <w:bookmarkStart w:name="_TOC_250000" w:id="1"/>
      <w:bookmarkEnd w:id="1"/>
      <w:r>
        <w:rPr/>
        <w:t>Шмалленберга</w:t>
      </w:r>
    </w:p>
    <w:p>
      <w:pPr>
        <w:pStyle w:val="BodyText"/>
        <w:spacing w:before="10"/>
        <w:ind w:left="0"/>
        <w:rPr>
          <w:b/>
          <w:sz w:val="31"/>
        </w:rPr>
      </w:pPr>
    </w:p>
    <w:p>
      <w:pPr>
        <w:pStyle w:val="ListParagraph"/>
        <w:numPr>
          <w:ilvl w:val="1"/>
          <w:numId w:val="2"/>
        </w:numPr>
        <w:tabs>
          <w:tab w:pos="1251" w:val="left" w:leader="none"/>
        </w:tabs>
        <w:spacing w:line="276" w:lineRule="auto" w:before="0" w:after="0"/>
        <w:ind w:left="213" w:right="120" w:firstLine="361"/>
        <w:jc w:val="both"/>
        <w:rPr>
          <w:sz w:val="28"/>
        </w:rPr>
      </w:pPr>
      <w:r>
        <w:rPr>
          <w:sz w:val="28"/>
        </w:rPr>
        <w:t>Для определения эпизоотической ситуации по блютангу и болезни Шмалленберг в РК не менее 5% животных, завезенных из-за рубежа, должны исследоваться методом ИФА через 6 месяцев, несмотря на результаты в карантине, а также мониторингу должен подвергаться местный скот, разводимый вблизи с импортированными животными в радиусе 100</w:t>
      </w:r>
      <w:r>
        <w:rPr>
          <w:spacing w:val="-7"/>
          <w:sz w:val="28"/>
        </w:rPr>
        <w:t> </w:t>
      </w:r>
      <w:r>
        <w:rPr>
          <w:sz w:val="28"/>
        </w:rPr>
        <w:t>км.</w:t>
      </w:r>
    </w:p>
    <w:p>
      <w:pPr>
        <w:pStyle w:val="ListParagraph"/>
        <w:numPr>
          <w:ilvl w:val="1"/>
          <w:numId w:val="2"/>
        </w:numPr>
        <w:tabs>
          <w:tab w:pos="1158" w:val="left" w:leader="none"/>
        </w:tabs>
        <w:spacing w:line="276" w:lineRule="auto" w:before="0" w:after="0"/>
        <w:ind w:left="213" w:right="128" w:firstLine="279"/>
        <w:jc w:val="both"/>
        <w:rPr>
          <w:sz w:val="28"/>
        </w:rPr>
      </w:pPr>
      <w:r>
        <w:rPr>
          <w:sz w:val="28"/>
        </w:rPr>
        <w:t>По меньшей мере, 0,1% крупного рогатого скота в стране должен исследоваться методом ИФА на блютанг и болезнь Шмалленберг, для уточнения эпизоотической</w:t>
      </w:r>
      <w:r>
        <w:rPr>
          <w:spacing w:val="1"/>
          <w:sz w:val="28"/>
        </w:rPr>
        <w:t> </w:t>
      </w:r>
      <w:r>
        <w:rPr>
          <w:sz w:val="28"/>
        </w:rPr>
        <w:t>ситуации.</w:t>
      </w:r>
    </w:p>
    <w:p>
      <w:pPr>
        <w:pStyle w:val="ListParagraph"/>
        <w:numPr>
          <w:ilvl w:val="1"/>
          <w:numId w:val="2"/>
        </w:numPr>
        <w:tabs>
          <w:tab w:pos="992" w:val="left" w:leader="none"/>
        </w:tabs>
        <w:spacing w:line="276" w:lineRule="auto" w:before="0" w:after="0"/>
        <w:ind w:left="213" w:right="122" w:firstLine="284"/>
        <w:jc w:val="both"/>
        <w:rPr>
          <w:sz w:val="28"/>
        </w:rPr>
      </w:pPr>
      <w:r>
        <w:rPr>
          <w:sz w:val="28"/>
        </w:rPr>
        <w:t>Биологическая трансмиссия возбудителей блютанга и болезни Шмалленберг лежит в основе сезонного появления и распространения. Принимая во внимание ситуацию в стране-экспортере, ввоз племенных животных необходимо организовывать в осенние и зимние месяцы в период отсутствия биологических переносчиков (кровососущие насекомые) возбудителей блютанга и болезни Шмалленберг.</w:t>
      </w:r>
    </w:p>
    <w:p>
      <w:pPr>
        <w:pStyle w:val="ListParagraph"/>
        <w:numPr>
          <w:ilvl w:val="1"/>
          <w:numId w:val="2"/>
        </w:numPr>
        <w:tabs>
          <w:tab w:pos="992" w:val="left" w:leader="none"/>
        </w:tabs>
        <w:spacing w:line="276" w:lineRule="auto" w:before="2" w:after="0"/>
        <w:ind w:left="213" w:right="117" w:firstLine="284"/>
        <w:jc w:val="both"/>
        <w:rPr>
          <w:sz w:val="28"/>
        </w:rPr>
      </w:pPr>
      <w:r>
        <w:rPr>
          <w:sz w:val="28"/>
        </w:rPr>
        <w:t>Схемы лабораторного тестирования, рекомендованные Санитарным кодексом для контроля блютанга и болезни Шмалленберга (либо серологические, либо вирусо- логические), не обеспечивают безопасности торговли при экспорте КРС из неблагополучных стран (или зон) как в период эпизоотии, так и межэпизоотический период более 3 лет. Для тестирования животных необходимо введение в схему комбинации реакций ПЦР и с-ИФА, независимо от эпизоотического статуса в стране- экспортѐре.</w:t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923" w:val="left" w:leader="none"/>
        </w:tabs>
        <w:spacing w:line="240" w:lineRule="auto" w:before="1" w:after="0"/>
        <w:ind w:left="922" w:right="0" w:hanging="281"/>
        <w:jc w:val="left"/>
        <w:rPr>
          <w:color w:val="212121"/>
        </w:rPr>
      </w:pPr>
      <w:r>
        <w:rPr>
          <w:color w:val="212121"/>
        </w:rPr>
        <w:t>Методы лабораторной диагностики блютанга и болезни</w:t>
      </w:r>
      <w:r>
        <w:rPr>
          <w:color w:val="212121"/>
          <w:spacing w:val="-19"/>
        </w:rPr>
        <w:t> </w:t>
      </w:r>
      <w:r>
        <w:rPr>
          <w:color w:val="212121"/>
        </w:rPr>
        <w:t>Шмалленберга</w:t>
      </w:r>
    </w:p>
    <w:p>
      <w:pPr>
        <w:pStyle w:val="BodyText"/>
        <w:spacing w:before="7"/>
        <w:ind w:left="0"/>
        <w:rPr>
          <w:b/>
          <w:sz w:val="31"/>
        </w:rPr>
      </w:pPr>
    </w:p>
    <w:p>
      <w:pPr>
        <w:pStyle w:val="BodyText"/>
        <w:spacing w:line="278" w:lineRule="auto" w:before="1"/>
        <w:ind w:right="123" w:firstLine="566"/>
        <w:jc w:val="both"/>
      </w:pPr>
      <w:r>
        <w:rPr>
          <w:color w:val="212121"/>
        </w:rPr>
        <w:t>Диагностические исследования на вирус Шмалленберг проводятся с использованием рекомендованной Всемирной организацией</w:t>
      </w:r>
      <w:r>
        <w:rPr>
          <w:color w:val="212121"/>
          <w:spacing w:val="64"/>
        </w:rPr>
        <w:t> </w:t>
      </w:r>
      <w:r>
        <w:rPr>
          <w:color w:val="212121"/>
        </w:rPr>
        <w:t>здравоохранения</w:t>
      </w:r>
    </w:p>
    <w:p>
      <w:pPr>
        <w:spacing w:after="0" w:line="278" w:lineRule="auto"/>
        <w:jc w:val="both"/>
        <w:sectPr>
          <w:pgSz w:w="11910" w:h="16840"/>
          <w:pgMar w:header="0" w:footer="1038" w:top="1420" w:bottom="1240" w:left="780" w:right="440"/>
        </w:sectPr>
      </w:pPr>
    </w:p>
    <w:p>
      <w:pPr>
        <w:pStyle w:val="BodyText"/>
        <w:spacing w:line="276" w:lineRule="auto" w:before="67"/>
        <w:ind w:right="119"/>
        <w:jc w:val="both"/>
      </w:pPr>
      <w:r>
        <w:rPr>
          <w:color w:val="212121"/>
        </w:rPr>
        <w:t>животных тест-системы, разработанной учеными института им. Фридриха Лѐффлера (Германия). Указанная тест-система валидирована на большом количестве образцов патологического материала и изолятов вируса и используется в ведущих научно- исследованных институтах стран Европейского Союза . Наличие единой тест- системы позволяет получать достоверные и специфичные результаты, которые используются для корректной оценки результатов исследований.</w:t>
      </w:r>
    </w:p>
    <w:p>
      <w:pPr>
        <w:pStyle w:val="BodyText"/>
        <w:spacing w:before="1"/>
        <w:ind w:left="780"/>
      </w:pPr>
      <w:r>
        <w:rPr>
          <w:color w:val="212121"/>
        </w:rPr>
        <w:t>В комплекс диагностических тестов/методов входят:</w:t>
      </w:r>
    </w:p>
    <w:p>
      <w:pPr>
        <w:pStyle w:val="BodyText"/>
        <w:spacing w:line="276" w:lineRule="auto" w:before="48"/>
        <w:ind w:right="119" w:firstLine="708"/>
        <w:jc w:val="both"/>
      </w:pPr>
      <w:r>
        <w:rPr>
          <w:color w:val="212121"/>
        </w:rPr>
        <w:t>-выявление генома вируса блютанга и болезни Шмалленберга методом полимеразной цепной реакции с этапом обратной транскрипции с детекцией продуктов амплификации в режиме реального времени (ОТ-ПЦР);</w:t>
      </w:r>
    </w:p>
    <w:p>
      <w:pPr>
        <w:pStyle w:val="BodyText"/>
        <w:spacing w:before="1"/>
        <w:ind w:left="922"/>
      </w:pPr>
      <w:r>
        <w:rPr>
          <w:color w:val="212121"/>
        </w:rPr>
        <w:t>- вирусовыделение;</w:t>
      </w:r>
    </w:p>
    <w:p>
      <w:pPr>
        <w:pStyle w:val="BodyText"/>
        <w:spacing w:before="50"/>
        <w:ind w:left="780"/>
      </w:pPr>
      <w:r>
        <w:rPr/>
        <w:t>Метод выделения вируса блютанга с использованием куриных эмбрионов в 30-</w:t>
      </w:r>
    </w:p>
    <w:p>
      <w:pPr>
        <w:pStyle w:val="BodyText"/>
        <w:spacing w:line="276" w:lineRule="auto" w:before="48"/>
        <w:ind w:right="120"/>
        <w:jc w:val="both"/>
      </w:pPr>
      <w:r>
        <w:rPr/>
        <w:t>100 раз чувствительнее методов выделения с использованием мышат-сосунов и культуры клеток VERO, что позволило выделить пять изолятов вируса блютанга 8 серотипа от персистентно инфицированного импортированного из Германии и Нидерландов крупного рогатого скота и рожденных от них телят. Вирус  блютанга 8 и 1 серотипа после двух последовательных пассажей на крупном рогатом скоте сохраняет свою патогенность для</w:t>
      </w:r>
      <w:r>
        <w:rPr>
          <w:spacing w:val="-6"/>
        </w:rPr>
        <w:t> </w:t>
      </w:r>
      <w:r>
        <w:rPr/>
        <w:t>овец.</w:t>
      </w:r>
    </w:p>
    <w:p>
      <w:pPr>
        <w:pStyle w:val="BodyText"/>
        <w:spacing w:line="276" w:lineRule="auto" w:before="1"/>
        <w:ind w:right="121" w:firstLine="708"/>
        <w:jc w:val="both"/>
      </w:pPr>
      <w:r>
        <w:rPr>
          <w:color w:val="212121"/>
        </w:rPr>
        <w:t>- выявление антигена и (или) антител к возбудителю блютанга и болезни Шмалленберга методом иммуноферментного анализа (ИФА) и другими сертифицированными диагностическими тест-системами.</w:t>
      </w:r>
    </w:p>
    <w:p>
      <w:pPr>
        <w:pStyle w:val="BodyText"/>
        <w:spacing w:line="276" w:lineRule="auto"/>
        <w:ind w:right="121" w:firstLine="566"/>
        <w:jc w:val="both"/>
      </w:pPr>
      <w:r>
        <w:rPr>
          <w:color w:val="212121"/>
        </w:rPr>
        <w:t>Для постановки диагноза на блютанга и болезни Шмалленберга необходимо лабораторное подтверждение наличия вируса в организме животного методами выявления вирусного генома или вируса.</w:t>
      </w:r>
    </w:p>
    <w:p>
      <w:pPr>
        <w:pStyle w:val="BodyText"/>
        <w:spacing w:line="276" w:lineRule="auto"/>
        <w:ind w:right="119" w:firstLine="566"/>
        <w:jc w:val="both"/>
      </w:pPr>
      <w:r>
        <w:rPr>
          <w:color w:val="212121"/>
        </w:rPr>
        <w:t>Обнаружение антител к возбудителю блютанга и болезни Шмалленберга в сыворотке крови животного свидетельствует о контакте животного с вирусом блютанга и болезни Шмалленберга в период, предшествовавший отбору проб сыворотки крови и является ретроспективной диагностикой, увеличение титра антител или образование антител у ранее серонеготивных животных (при отсутствии вакцинации) может свидетельствовать о циркуляции вируса в стаде. Но окончательный диагноз ставиться лабораторное подтверждение наличия вируса в организме животного методами выявления вирусного генома или вируса.</w:t>
      </w:r>
    </w:p>
    <w:p>
      <w:pPr>
        <w:pStyle w:val="BodyText"/>
        <w:spacing w:before="7"/>
        <w:ind w:left="0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779" w:val="left" w:leader="none"/>
        </w:tabs>
        <w:spacing w:line="240" w:lineRule="auto" w:before="0" w:after="0"/>
        <w:ind w:left="778" w:right="0" w:hanging="281"/>
        <w:jc w:val="left"/>
      </w:pPr>
      <w:r>
        <w:rPr/>
        <w:t>Меры профилактики и борьбы с </w:t>
      </w:r>
      <w:r>
        <w:rPr>
          <w:color w:val="212121"/>
        </w:rPr>
        <w:t>блютангом и болезнью</w:t>
      </w:r>
      <w:r>
        <w:rPr>
          <w:color w:val="212121"/>
          <w:spacing w:val="-15"/>
        </w:rPr>
        <w:t> </w:t>
      </w:r>
      <w:r>
        <w:rPr>
          <w:color w:val="212121"/>
        </w:rPr>
        <w:t>Шмалленберга</w:t>
      </w:r>
    </w:p>
    <w:p>
      <w:pPr>
        <w:pStyle w:val="BodyText"/>
        <w:spacing w:before="8"/>
        <w:ind w:left="0"/>
        <w:rPr>
          <w:b/>
          <w:sz w:val="31"/>
        </w:rPr>
      </w:pPr>
    </w:p>
    <w:p>
      <w:pPr>
        <w:pStyle w:val="BodyText"/>
        <w:spacing w:line="276" w:lineRule="auto"/>
        <w:ind w:right="123" w:firstLine="708"/>
        <w:jc w:val="both"/>
      </w:pPr>
      <w:r>
        <w:rPr/>
        <w:t>В благополучных по заболеванию странах профилактические мероприятия ограничиваются запрещением ввоза восприимчивых животных из стран, неблагополучных по блютангу и болезни Шмалленберга, карантинированием домашних и диких жвачных в местах ввоза.</w:t>
      </w:r>
    </w:p>
    <w:p>
      <w:pPr>
        <w:spacing w:after="0" w:line="276" w:lineRule="auto"/>
        <w:jc w:val="both"/>
        <w:sectPr>
          <w:pgSz w:w="11910" w:h="16840"/>
          <w:pgMar w:header="0" w:footer="1038" w:top="1040" w:bottom="1240" w:left="780" w:right="440"/>
        </w:sectPr>
      </w:pPr>
    </w:p>
    <w:p>
      <w:pPr>
        <w:pStyle w:val="BodyText"/>
        <w:spacing w:line="276" w:lineRule="auto" w:before="67"/>
        <w:ind w:right="128" w:firstLine="698"/>
        <w:jc w:val="both"/>
      </w:pPr>
      <w:r>
        <w:rPr/>
        <w:t>В угрожаемых зонах и стационарных очагах болезни проводят систематическую борьбу с переносчиками, запрещают пастьбу вечером; в период массового лета насекомых перегоняют животных с заболоченных пастбищ на более сухие, высокорасположенные; проводят ежегодную вакцинацию</w:t>
      </w:r>
      <w:r>
        <w:rPr>
          <w:spacing w:val="-12"/>
        </w:rPr>
        <w:t> </w:t>
      </w:r>
      <w:r>
        <w:rPr/>
        <w:t>животных.</w:t>
      </w:r>
    </w:p>
    <w:p>
      <w:pPr>
        <w:pStyle w:val="BodyText"/>
        <w:spacing w:line="276" w:lineRule="auto" w:before="3"/>
        <w:ind w:right="120" w:firstLine="708"/>
        <w:jc w:val="both"/>
      </w:pPr>
      <w:r>
        <w:rPr/>
        <w:t>Для предотвращения возможных рисков необходимо исследовать вновь ввозимый скот из зарубежных стран и перевозимый внутри страны с целью определения наличия антител или напряженности иммунитета в случае проведения вакцинации.</w:t>
      </w:r>
    </w:p>
    <w:p>
      <w:pPr>
        <w:pStyle w:val="BodyText"/>
        <w:spacing w:line="276" w:lineRule="auto"/>
        <w:ind w:right="121" w:firstLine="708"/>
        <w:jc w:val="both"/>
      </w:pPr>
      <w:r>
        <w:rPr/>
        <w:t>В Республике Казахстан для предотвращения заноса возбудителя блютанга и болезни Шмалленберга разработаны и действует специальный алгоритм ввоза животных из-за рубежа.</w:t>
      </w:r>
    </w:p>
    <w:p>
      <w:pPr>
        <w:pStyle w:val="BodyText"/>
        <w:spacing w:before="7"/>
        <w:ind w:left="0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1225" w:val="left" w:leader="none"/>
        </w:tabs>
        <w:spacing w:line="273" w:lineRule="auto" w:before="0" w:after="0"/>
        <w:ind w:left="1975" w:right="147" w:hanging="1032"/>
        <w:jc w:val="left"/>
      </w:pPr>
      <w:r>
        <w:rPr/>
        <w:t>Мероприятия при подозрении на блютанг и болезнь Шмалленберга и их возникновении на территории Республики</w:t>
      </w:r>
      <w:r>
        <w:rPr>
          <w:spacing w:val="-6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b/>
          <w:sz w:val="24"/>
        </w:rPr>
      </w:pPr>
    </w:p>
    <w:p>
      <w:pPr>
        <w:pStyle w:val="BodyText"/>
        <w:spacing w:line="276" w:lineRule="auto"/>
        <w:ind w:firstLine="566"/>
      </w:pPr>
      <w:r>
        <w:rPr/>
        <w:t>4.1. Мероприятия при подозрении на блютанг и болезнь Шмалленберга Подозрение на болезни может быть определено на основании:</w:t>
      </w:r>
    </w:p>
    <w:p>
      <w:pPr>
        <w:pStyle w:val="BodyText"/>
        <w:spacing w:line="276" w:lineRule="auto" w:before="1"/>
        <w:ind w:right="133" w:firstLine="706"/>
        <w:jc w:val="both"/>
      </w:pPr>
      <w:r>
        <w:rPr/>
        <w:t>а) информации о неблагополучии территории, с которой был завезен скот, его генетический (племенной) материал;</w:t>
      </w:r>
    </w:p>
    <w:p>
      <w:pPr>
        <w:pStyle w:val="BodyText"/>
        <w:spacing w:line="276" w:lineRule="auto"/>
        <w:ind w:right="120" w:firstLine="706"/>
        <w:jc w:val="both"/>
      </w:pPr>
      <w:r>
        <w:rPr/>
        <w:t>б) обнаружения у животных характерных для блютанга и болезни Шмалленберга клинических признаков и патологоанатомических изменений;</w:t>
      </w:r>
    </w:p>
    <w:p>
      <w:pPr>
        <w:pStyle w:val="BodyText"/>
        <w:spacing w:line="276" w:lineRule="auto"/>
        <w:ind w:right="130" w:firstLine="708"/>
        <w:jc w:val="both"/>
      </w:pPr>
      <w:r>
        <w:rPr/>
        <w:t>в) выявления антител к вирусу блютанга и болезни Шмалленберг у одного или нескольких животных стада, животноводческого хозяйства, населенного пункта.</w:t>
      </w:r>
    </w:p>
    <w:p>
      <w:pPr>
        <w:pStyle w:val="BodyText"/>
        <w:spacing w:line="276" w:lineRule="auto"/>
        <w:ind w:right="121"/>
        <w:jc w:val="both"/>
      </w:pPr>
      <w:r>
        <w:rPr/>
        <w:t>Подозреваемых в заражении животных, от которых получают генетический (племенной), материал исследуют на наличие антител и/или генома вируса двукратно с интервалом 15-20 дней.</w:t>
      </w:r>
    </w:p>
    <w:p>
      <w:pPr>
        <w:pStyle w:val="BodyText"/>
        <w:spacing w:line="276" w:lineRule="auto"/>
        <w:ind w:right="123"/>
        <w:jc w:val="both"/>
      </w:pPr>
      <w:r>
        <w:rPr/>
        <w:t>При подозрении на заболевание животных к блютангу и болезни Шмалленберг в хозяйстве (ферме, населенном пункте, стаде) вводят ограничения по условиям, которых запрещается:</w:t>
      </w:r>
    </w:p>
    <w:p>
      <w:pPr>
        <w:pStyle w:val="BodyText"/>
        <w:spacing w:line="276" w:lineRule="auto"/>
        <w:ind w:right="126" w:firstLine="566"/>
        <w:jc w:val="both"/>
      </w:pPr>
      <w:r>
        <w:rPr/>
        <w:t>В случае выявления сероположительных животных, их отправляют на убой, а оставшихся поголовья исследует дополнительно с интервалом 45 дней до получения отрицательного результат в ИФА.</w:t>
      </w:r>
    </w:p>
    <w:p>
      <w:pPr>
        <w:pStyle w:val="ListParagraph"/>
        <w:numPr>
          <w:ilvl w:val="0"/>
          <w:numId w:val="3"/>
        </w:numPr>
        <w:tabs>
          <w:tab w:pos="1163" w:val="left" w:leader="none"/>
        </w:tabs>
        <w:spacing w:line="276" w:lineRule="auto" w:before="1" w:after="0"/>
        <w:ind w:left="934" w:right="128" w:firstLine="0"/>
        <w:jc w:val="left"/>
        <w:rPr>
          <w:sz w:val="28"/>
        </w:rPr>
      </w:pPr>
      <w:r>
        <w:rPr>
          <w:sz w:val="28"/>
        </w:rPr>
        <w:t>перегруппировка животных без разрешения государственной ветеринарной службы;</w:t>
      </w:r>
    </w:p>
    <w:p>
      <w:pPr>
        <w:pStyle w:val="ListParagraph"/>
        <w:numPr>
          <w:ilvl w:val="0"/>
          <w:numId w:val="3"/>
        </w:numPr>
        <w:tabs>
          <w:tab w:pos="1153" w:val="left" w:leader="none"/>
        </w:tabs>
        <w:spacing w:line="278" w:lineRule="auto" w:before="0" w:after="0"/>
        <w:ind w:left="934" w:right="128" w:firstLine="0"/>
        <w:jc w:val="left"/>
        <w:rPr>
          <w:sz w:val="28"/>
        </w:rPr>
      </w:pPr>
      <w:r>
        <w:rPr>
          <w:sz w:val="28"/>
        </w:rPr>
        <w:t>вывод (вывоз) из хозяйства для племенных целей и реализации животных, потомства и генетического материала</w:t>
      </w:r>
      <w:r>
        <w:rPr>
          <w:spacing w:val="-8"/>
          <w:sz w:val="28"/>
        </w:rPr>
        <w:t> </w:t>
      </w:r>
      <w:r>
        <w:rPr>
          <w:sz w:val="28"/>
        </w:rPr>
        <w:t>отних;</w:t>
      </w:r>
    </w:p>
    <w:p>
      <w:pPr>
        <w:pStyle w:val="ListParagraph"/>
        <w:numPr>
          <w:ilvl w:val="0"/>
          <w:numId w:val="3"/>
        </w:numPr>
        <w:tabs>
          <w:tab w:pos="1227" w:val="left" w:leader="none"/>
          <w:tab w:pos="8946" w:val="left" w:leader="none"/>
        </w:tabs>
        <w:spacing w:line="276" w:lineRule="auto" w:before="0" w:after="0"/>
        <w:ind w:left="934" w:right="127" w:firstLine="0"/>
        <w:jc w:val="left"/>
        <w:rPr>
          <w:sz w:val="28"/>
        </w:rPr>
      </w:pPr>
      <w:r>
        <w:rPr>
          <w:sz w:val="28"/>
        </w:rPr>
        <w:t>использование   быков-производителей   для </w:t>
      </w:r>
      <w:r>
        <w:rPr>
          <w:spacing w:val="14"/>
          <w:sz w:val="28"/>
        </w:rPr>
        <w:t> </w:t>
      </w:r>
      <w:r>
        <w:rPr>
          <w:sz w:val="28"/>
        </w:rPr>
        <w:t>вольной </w:t>
      </w:r>
      <w:r>
        <w:rPr>
          <w:spacing w:val="52"/>
          <w:sz w:val="28"/>
        </w:rPr>
        <w:t> </w:t>
      </w:r>
      <w:r>
        <w:rPr>
          <w:sz w:val="28"/>
        </w:rPr>
        <w:t>случки</w:t>
        <w:tab/>
        <w:t>и </w:t>
      </w:r>
      <w:r>
        <w:rPr>
          <w:spacing w:val="-4"/>
          <w:sz w:val="28"/>
        </w:rPr>
        <w:t>получения </w:t>
      </w:r>
      <w:r>
        <w:rPr>
          <w:sz w:val="28"/>
        </w:rPr>
        <w:t>спермы;</w:t>
      </w:r>
    </w:p>
    <w:p>
      <w:pPr>
        <w:spacing w:after="0" w:line="276" w:lineRule="auto"/>
        <w:jc w:val="left"/>
        <w:rPr>
          <w:sz w:val="28"/>
        </w:rPr>
        <w:sectPr>
          <w:pgSz w:w="11910" w:h="16840"/>
          <w:pgMar w:header="0" w:footer="1038" w:top="1040" w:bottom="1240" w:left="780" w:right="440"/>
        </w:sectPr>
      </w:pPr>
    </w:p>
    <w:p>
      <w:pPr>
        <w:pStyle w:val="ListParagraph"/>
        <w:numPr>
          <w:ilvl w:val="0"/>
          <w:numId w:val="3"/>
        </w:numPr>
        <w:tabs>
          <w:tab w:pos="1268" w:val="left" w:leader="none"/>
        </w:tabs>
        <w:spacing w:line="278" w:lineRule="auto" w:before="67" w:after="0"/>
        <w:ind w:left="213" w:right="128" w:firstLine="721"/>
        <w:jc w:val="both"/>
        <w:rPr>
          <w:sz w:val="28"/>
        </w:rPr>
      </w:pPr>
      <w:r>
        <w:rPr>
          <w:sz w:val="28"/>
        </w:rPr>
        <w:t>вывод (вывоз) животных для убоя без разрешения государственной ветеринарной</w:t>
      </w:r>
      <w:r>
        <w:rPr>
          <w:spacing w:val="-1"/>
          <w:sz w:val="28"/>
        </w:rPr>
        <w:t> </w:t>
      </w:r>
      <w:r>
        <w:rPr>
          <w:sz w:val="28"/>
        </w:rPr>
        <w:t>службы;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317" w:lineRule="exact" w:before="0" w:after="0"/>
        <w:ind w:left="1085" w:right="0" w:hanging="163"/>
        <w:jc w:val="left"/>
        <w:rPr>
          <w:sz w:val="28"/>
        </w:rPr>
      </w:pPr>
      <w:r>
        <w:rPr>
          <w:sz w:val="28"/>
        </w:rPr>
        <w:t>использование и реализация молока в сыром</w:t>
      </w:r>
      <w:r>
        <w:rPr>
          <w:spacing w:val="-5"/>
          <w:sz w:val="28"/>
        </w:rPr>
        <w:t> </w:t>
      </w:r>
      <w:r>
        <w:rPr>
          <w:sz w:val="28"/>
        </w:rPr>
        <w:t>виде.</w:t>
      </w:r>
    </w:p>
    <w:p>
      <w:pPr>
        <w:pStyle w:val="BodyText"/>
        <w:spacing w:line="276" w:lineRule="auto" w:before="48"/>
        <w:ind w:right="124" w:firstLine="566"/>
        <w:jc w:val="both"/>
      </w:pPr>
      <w:r>
        <w:rPr/>
        <w:t>В случае обнаружения в подозреваемой группе животных серопозитивных по блютангу и болезни Шмалленберга особей, владелец может отказаться от проведения исследований и отправить всю группу животных на убой под контролем государственной ветеринарной службы.</w:t>
      </w:r>
    </w:p>
    <w:p>
      <w:pPr>
        <w:pStyle w:val="BodyText"/>
        <w:spacing w:line="276" w:lineRule="auto"/>
        <w:ind w:right="121" w:firstLine="708"/>
        <w:jc w:val="both"/>
      </w:pPr>
      <w:r>
        <w:rPr/>
        <w:t>В благополучных хозяйствах по блютангу и болезни Шмалленберга восприимчивых животных, которые поступали из неблагополучного пункта, в течение последних 60 дней подвергают двукратному лабораторному исследованию с интервалом 15-20 дней методом</w:t>
      </w:r>
      <w:r>
        <w:rPr>
          <w:spacing w:val="-3"/>
        </w:rPr>
        <w:t> </w:t>
      </w:r>
      <w:r>
        <w:rPr/>
        <w:t>ИФА.</w:t>
      </w:r>
    </w:p>
    <w:p>
      <w:pPr>
        <w:pStyle w:val="BodyText"/>
        <w:spacing w:before="8"/>
        <w:ind w:left="0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1455" w:val="left" w:leader="none"/>
        </w:tabs>
        <w:spacing w:line="276" w:lineRule="auto" w:before="1" w:after="0"/>
        <w:ind w:left="4016" w:right="660" w:hanging="2842"/>
        <w:jc w:val="left"/>
      </w:pPr>
      <w:r>
        <w:rPr/>
        <w:t>Мероприятия по ликвидации блютанга и болезни Шмалленберга в неблагополучном</w:t>
      </w:r>
      <w:r>
        <w:rPr>
          <w:spacing w:val="-4"/>
        </w:rPr>
        <w:t> </w:t>
      </w:r>
      <w:r>
        <w:rPr/>
        <w:t>пункте</w:t>
      </w:r>
    </w:p>
    <w:p>
      <w:pPr>
        <w:pStyle w:val="BodyText"/>
        <w:spacing w:before="9"/>
        <w:ind w:left="0"/>
        <w:rPr>
          <w:b/>
          <w:sz w:val="31"/>
        </w:rPr>
      </w:pPr>
    </w:p>
    <w:p>
      <w:pPr>
        <w:pStyle w:val="BodyText"/>
        <w:spacing w:line="276" w:lineRule="auto"/>
        <w:ind w:right="119" w:firstLine="708"/>
        <w:jc w:val="both"/>
      </w:pPr>
      <w:r>
        <w:rPr/>
        <w:t>Решающее значение при ликвидации блютанга и болезни Шмалленберга имеют мероприятия, проводимые в угрожаемой зоне. Для предотвращения распространения блютанга и болезни Шмалленберг из первичного очага необходимо определить угрожаемую зону - территорию, на которой обитают восприимчивые к заражению виды животных и прилегающую к эпизоотическому очагу местность. Размер угрожаемой зоны определяют расстоянием миграции диких жвачных или лѐта мокрецов (100 - 150 км от эпизоотического очага с учетом розы ветров). В ней организуют постоянное наблюдение за восприимчивыми животными, включая систематический клинический осмотр поголовья и регулярное проведение серологических исследований на блютанг и болезни Шмалленберга не менее 5% поголовья мелких и крупных жвачных. Локализовать первичный очаг блютанга и болезни Шмалленберг возможно только при своевременной иммунизации всех клинически здоровых жвачных животных в угрожаемой зоне вакциной, изготовленной на основе выделенного в эпизоотическом очаге серотипа вируса, а также проведением мероприятий по борьбе с насекомыми-переносчиками.</w:t>
      </w:r>
    </w:p>
    <w:p>
      <w:pPr>
        <w:pStyle w:val="BodyText"/>
        <w:spacing w:line="276" w:lineRule="auto" w:before="1"/>
        <w:ind w:right="125" w:firstLine="708"/>
        <w:jc w:val="both"/>
      </w:pPr>
      <w:r>
        <w:rPr/>
        <w:t>Вокруг очага выделяют угрожаемую зону радиусом 100 км, в которой в течение периода активности насекомых – переносчиков, кроме плановых мероприятий проводится: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76" w:lineRule="auto" w:before="0" w:after="0"/>
        <w:ind w:left="213" w:right="125" w:firstLine="709"/>
        <w:jc w:val="both"/>
        <w:rPr>
          <w:sz w:val="28"/>
        </w:rPr>
      </w:pPr>
      <w:r>
        <w:rPr>
          <w:sz w:val="28"/>
        </w:rPr>
        <w:t>серологическое обследование не менее 5% восприимчивого поголовья с интервалом 45 дней;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76" w:lineRule="auto" w:before="0" w:after="0"/>
        <w:ind w:left="213" w:right="125" w:firstLine="709"/>
        <w:jc w:val="both"/>
        <w:rPr>
          <w:sz w:val="28"/>
        </w:rPr>
      </w:pPr>
      <w:r>
        <w:rPr>
          <w:sz w:val="28"/>
        </w:rPr>
        <w:t>проведение лабораторно-диагностических исследований при всех случаях падежа жвачных всех видов, с учетом клинических признаков сопровождавших гибель животного и результатов эпизоотологических</w:t>
      </w:r>
      <w:r>
        <w:rPr>
          <w:spacing w:val="-8"/>
          <w:sz w:val="28"/>
        </w:rPr>
        <w:t> </w:t>
      </w:r>
      <w:r>
        <w:rPr>
          <w:sz w:val="28"/>
        </w:rPr>
        <w:t>данных;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038" w:top="1040" w:bottom="1240" w:left="780" w:right="440"/>
        </w:sectPr>
      </w:pP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276" w:lineRule="auto" w:before="67" w:after="0"/>
        <w:ind w:left="213" w:right="123" w:firstLine="709"/>
        <w:jc w:val="both"/>
        <w:rPr>
          <w:sz w:val="28"/>
        </w:rPr>
      </w:pPr>
      <w:r>
        <w:rPr>
          <w:sz w:val="28"/>
        </w:rPr>
        <w:t>проведение энтомологических исследований по выявлению видового состава зоны, организуется борьба с насекомыми – переносчиками в соответствии с действующими указаниями «Организационно-методические указания по борьбе с гнусом (кровососущими комарами и мошками)», утвержденными Минздравом СССР от 11 января 1971 г. N 874-71 с соблюдением техники</w:t>
      </w:r>
      <w:r>
        <w:rPr>
          <w:spacing w:val="-11"/>
          <w:sz w:val="28"/>
        </w:rPr>
        <w:t> </w:t>
      </w:r>
      <w:r>
        <w:rPr>
          <w:sz w:val="28"/>
        </w:rPr>
        <w:t>безопасности.</w:t>
      </w:r>
    </w:p>
    <w:p>
      <w:pPr>
        <w:pStyle w:val="BodyText"/>
        <w:spacing w:line="276" w:lineRule="auto" w:before="2"/>
        <w:ind w:right="123" w:firstLine="708"/>
        <w:jc w:val="both"/>
      </w:pPr>
      <w:r>
        <w:rPr/>
        <w:t>Ограничения с неблагополучного хозяйства снимают через год после последнего случая заболевания и уничтожения больных особей при получении двукратных отрицательных результатов исследований проведенных с интервалом в 45 дней на бессимптомное</w:t>
      </w:r>
      <w:r>
        <w:rPr>
          <w:spacing w:val="-5"/>
        </w:rPr>
        <w:t> </w:t>
      </w:r>
      <w:r>
        <w:rPr/>
        <w:t>вирусоносительство.</w:t>
      </w:r>
    </w:p>
    <w:p>
      <w:pPr>
        <w:pStyle w:val="BodyText"/>
        <w:spacing w:line="276" w:lineRule="auto"/>
        <w:ind w:right="120" w:firstLine="708"/>
        <w:jc w:val="both"/>
      </w:pPr>
      <w:r>
        <w:rPr/>
        <w:t>От всех животных из неблагополучного по блютангу и болезни Шмалленберг стада каждые 45 дней отбираются пробы сыворотки крови для проведения серологических исследований. Кроме того, дополнительно проводятся исследования местного скота в зоне риска радиусом до 100 км.</w:t>
      </w:r>
    </w:p>
    <w:p>
      <w:pPr>
        <w:pStyle w:val="BodyText"/>
        <w:spacing w:line="276" w:lineRule="auto"/>
        <w:ind w:right="119"/>
        <w:jc w:val="both"/>
      </w:pPr>
      <w:r>
        <w:rPr/>
        <w:t>Ответственными за выполнение данных мероприятий являются владельцы животных и ветеринарный врач (ветеринарные врачи) ответственный за ветеринарное обслуживание данного хозяйства (фермы, населенного пункта, стада) Государственный Ветеринарный инспектор административного региона (район, области).</w:t>
      </w:r>
    </w:p>
    <w:p>
      <w:pPr>
        <w:pStyle w:val="BodyText"/>
        <w:spacing w:before="3"/>
        <w:ind w:left="0"/>
        <w:rPr>
          <w:sz w:val="32"/>
        </w:rPr>
      </w:pPr>
    </w:p>
    <w:p>
      <w:pPr>
        <w:spacing w:line="276" w:lineRule="auto" w:before="0"/>
        <w:ind w:left="213" w:right="120" w:firstLine="0"/>
        <w:jc w:val="both"/>
        <w:rPr>
          <w:i/>
          <w:sz w:val="28"/>
        </w:rPr>
      </w:pPr>
      <w:r>
        <w:rPr>
          <w:i/>
          <w:sz w:val="28"/>
        </w:rPr>
        <w:t>По результатам ежегодного мониторинга в положения, приведенные в </w:t>
      </w:r>
      <w:r>
        <w:rPr>
          <w:i/>
          <w:sz w:val="28"/>
        </w:rPr>
        <w:t>рекомендациях, будут внесены соответствующие изменения и дополнения.</w:t>
      </w:r>
    </w:p>
    <w:sectPr>
      <w:pgSz w:w="11910" w:h="16840"/>
      <w:pgMar w:header="0" w:footer="1038" w:top="1040" w:bottom="1240" w:left="7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350006pt;margin-top:778.146606pt;width:16pt;height:15.3pt;mso-position-horizontal-relative:page;mso-position-vertical-relative:page;z-index:-2137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934" w:hanging="2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914" w:hanging="22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89" w:hanging="22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63" w:hanging="22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38" w:hanging="22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13" w:hanging="22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87" w:hanging="22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62" w:hanging="22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37" w:hanging="228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13" w:hanging="67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3" w:hanging="67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13" w:hanging="67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9" w:hanging="67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406" w:hanging="67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453" w:hanging="67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499" w:hanging="67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46" w:hanging="67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93" w:hanging="677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30" w:hanging="5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838" w:hanging="360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22" w:hanging="36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788" w:hanging="36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771" w:hanging="36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754" w:hanging="36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737" w:hanging="36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ru-RU" w:eastAsia="ru-RU" w:bidi="ru-RU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TOC1" w:type="paragraph">
    <w:name w:val="TOC 1"/>
    <w:basedOn w:val="Normal"/>
    <w:uiPriority w:val="1"/>
    <w:qFormat/>
    <w:pPr>
      <w:spacing w:before="321"/>
      <w:ind w:left="1030" w:hanging="586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TOC2" w:type="paragraph">
    <w:name w:val="TOC 2"/>
    <w:basedOn w:val="Normal"/>
    <w:uiPriority w:val="1"/>
    <w:qFormat/>
    <w:pPr>
      <w:ind w:left="1030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213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13" w:hanging="586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107"/>
      <w:jc w:val="center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kaznivialmaty@mail.ru" TargetMode="External"/><Relationship Id="rId9" Type="http://schemas.openxmlformats.org/officeDocument/2006/relationships/hyperlink" Target="http://ru.wikipedia.org/wiki/%D0%9C%D0%BE%D0%BD%D1%82%D0%B0%D0%BD%D0%B0" TargetMode="External"/><Relationship Id="rId10" Type="http://schemas.openxmlformats.org/officeDocument/2006/relationships/hyperlink" Target="http://ru.wikipedia.org/wiki/%D0%90%D0%B9%D0%B4%D0%B0%D1%85%D0%BE" TargetMode="External"/><Relationship Id="rId11" Type="http://schemas.openxmlformats.org/officeDocument/2006/relationships/hyperlink" Target="http://ru.wikipedia.org/wiki/%D0%92%D0%B0%D1%88%D0%B8%D0%BD%D0%B3%D1%82%D0%BE%D0%BD_(%D1%88%D1%82%D0%B0%D1%82)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://www.oie.int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2018-12-27T13:37:26Z</dcterms:created>
  <dcterms:modified xsi:type="dcterms:W3CDTF">2018-12-27T13:37:26Z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2018-12-27T00:00:00Z</vt:filetime>
  </property>
</Properties>
</file>